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w:t>
      </w:r>
    </w:p>
    <w:p>
      <w:pPr>
        <w:adjustRightInd w:val="0"/>
        <w:snapToGrid w:val="0"/>
        <w:spacing w:line="560" w:lineRule="exact"/>
        <w:rPr>
          <w:rFonts w:ascii="黑体" w:hAnsi="黑体" w:eastAsia="黑体" w:cs="黑体"/>
          <w:sz w:val="32"/>
          <w:szCs w:val="32"/>
        </w:rPr>
      </w:pPr>
    </w:p>
    <w:p>
      <w:pPr>
        <w:adjustRightInd w:val="0"/>
        <w:snapToGrid w:val="0"/>
        <w:spacing w:line="560" w:lineRule="exact"/>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浙江省大学生法律职业能力竞赛</w:t>
      </w:r>
    </w:p>
    <w:p>
      <w:pPr>
        <w:adjustRightInd w:val="0"/>
        <w:snapToGrid w:val="0"/>
        <w:spacing w:line="560" w:lineRule="exact"/>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法律征文类竞赛规则</w:t>
      </w:r>
    </w:p>
    <w:p>
      <w:pPr>
        <w:widowControl/>
        <w:wordWrap w:val="0"/>
        <w:adjustRightInd w:val="0"/>
        <w:snapToGrid w:val="0"/>
        <w:spacing w:line="360" w:lineRule="auto"/>
        <w:jc w:val="center"/>
        <w:textAlignment w:val="baseline"/>
        <w:rPr>
          <w:rFonts w:ascii="黑体" w:hAnsi="黑体" w:eastAsia="黑体" w:cs="黑体"/>
          <w:b/>
          <w:bCs/>
          <w:spacing w:val="11"/>
          <w:sz w:val="32"/>
          <w:szCs w:val="32"/>
        </w:rPr>
      </w:pPr>
    </w:p>
    <w:p>
      <w:pPr>
        <w:widowControl/>
        <w:wordWrap w:val="0"/>
        <w:adjustRightInd w:val="0"/>
        <w:snapToGrid w:val="0"/>
        <w:spacing w:afterLines="50" w:line="360" w:lineRule="auto"/>
        <w:jc w:val="center"/>
        <w:textAlignment w:val="baseline"/>
        <w:rPr>
          <w:rFonts w:ascii="黑体" w:hAnsi="黑体" w:eastAsia="黑体" w:cs="黑体"/>
          <w:spacing w:val="11"/>
          <w:sz w:val="32"/>
          <w:szCs w:val="32"/>
        </w:rPr>
      </w:pPr>
      <w:r>
        <w:rPr>
          <w:rFonts w:hint="eastAsia" w:ascii="黑体" w:hAnsi="黑体" w:eastAsia="黑体" w:cs="黑体"/>
          <w:spacing w:val="11"/>
          <w:sz w:val="32"/>
          <w:szCs w:val="32"/>
          <w:lang w:eastAsia="en-US"/>
        </w:rPr>
        <w:t>第一章</w:t>
      </w:r>
      <w:r>
        <w:rPr>
          <w:rFonts w:hint="eastAsia" w:ascii="黑体" w:hAnsi="黑体" w:eastAsia="黑体" w:cs="黑体"/>
          <w:spacing w:val="11"/>
          <w:sz w:val="32"/>
          <w:szCs w:val="32"/>
        </w:rPr>
        <w:t xml:space="preserve">  竞赛特点、领导机构与承办方</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第一条[竞赛特点]</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浙江省大学生法律职业能力竞赛——法律征文类竞赛，由选手经过思想考虑和</w:t>
      </w:r>
      <w:bookmarkStart w:id="0" w:name="_GoBack"/>
      <w:bookmarkEnd w:id="0"/>
      <w:r>
        <w:rPr>
          <w:rFonts w:hint="eastAsia" w:ascii="仿宋_GB2312" w:hAnsi="仿宋_GB2312" w:eastAsia="仿宋_GB2312" w:cs="仿宋_GB2312"/>
          <w:sz w:val="32"/>
          <w:szCs w:val="32"/>
        </w:rPr>
        <w:t>语言组织，按照一定的规则，围绕某一与法律有关的主题展开写作，阐释思想、分析问题、论证方案、给出结论，以培养学生的学术创新意识、学术规范意识、学术道德意识，从立意、谋篇布局、文字表达等方面来提高学生写作水平。</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第二条[领导机构] </w:t>
      </w:r>
      <w:r>
        <w:rPr>
          <w:rFonts w:hint="eastAsia" w:ascii="仿宋_GB2312" w:hAnsi="仿宋_GB2312" w:eastAsia="仿宋_GB2312" w:cs="仿宋_GB2312"/>
          <w:sz w:val="32"/>
          <w:szCs w:val="32"/>
        </w:rPr>
        <w:t xml:space="preserve"> 竞赛在浙江省大学生法律职业能力竞赛委员会的组织和领导下举行。</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第三条[承办]  </w:t>
      </w:r>
      <w:r>
        <w:rPr>
          <w:rFonts w:hint="eastAsia" w:ascii="仿宋_GB2312" w:hAnsi="仿宋_GB2312" w:eastAsia="仿宋_GB2312" w:cs="仿宋_GB2312"/>
          <w:sz w:val="32"/>
          <w:szCs w:val="32"/>
        </w:rPr>
        <w:t>竞赛由浙江省教育厅、浙江省大学生科技竞赛委员会主办，浙江工商大学为秘书处单位。省内法学院校可以向竞赛委员会提出承办申请，由竞赛委员会决定。</w:t>
      </w:r>
    </w:p>
    <w:p>
      <w:pPr>
        <w:widowControl/>
        <w:wordWrap w:val="0"/>
        <w:adjustRightInd w:val="0"/>
        <w:snapToGrid w:val="0"/>
        <w:spacing w:line="360" w:lineRule="auto"/>
        <w:ind w:firstLine="640" w:firstLineChars="200"/>
        <w:textAlignment w:val="baseline"/>
        <w:rPr>
          <w:spacing w:val="11"/>
          <w:sz w:val="32"/>
          <w:szCs w:val="32"/>
        </w:rPr>
      </w:pPr>
      <w:r>
        <w:rPr>
          <w:rFonts w:hint="eastAsia" w:ascii="仿宋_GB2312" w:hAnsi="仿宋_GB2312" w:eastAsia="仿宋_GB2312" w:cs="仿宋_GB2312"/>
          <w:sz w:val="32"/>
          <w:szCs w:val="32"/>
        </w:rPr>
        <w:t>本竞赛每两年举办一次。</w:t>
      </w:r>
    </w:p>
    <w:p>
      <w:pPr>
        <w:widowControl/>
        <w:wordWrap w:val="0"/>
        <w:adjustRightInd w:val="0"/>
        <w:snapToGrid w:val="0"/>
        <w:spacing w:beforeLines="50" w:afterLines="50" w:line="360" w:lineRule="auto"/>
        <w:jc w:val="center"/>
        <w:textAlignment w:val="baseline"/>
        <w:rPr>
          <w:rFonts w:ascii="黑体" w:hAnsi="黑体" w:eastAsia="黑体" w:cs="黑体"/>
          <w:spacing w:val="11"/>
          <w:sz w:val="32"/>
          <w:szCs w:val="32"/>
          <w:lang w:eastAsia="en-US"/>
        </w:rPr>
      </w:pPr>
      <w:r>
        <w:rPr>
          <w:rFonts w:hint="eastAsia" w:ascii="黑体" w:hAnsi="黑体" w:eastAsia="黑体" w:cs="黑体"/>
          <w:spacing w:val="11"/>
          <w:sz w:val="32"/>
          <w:szCs w:val="32"/>
          <w:lang w:eastAsia="en-US"/>
        </w:rPr>
        <w:t>第二章</w:t>
      </w:r>
      <w:r>
        <w:rPr>
          <w:rFonts w:hint="eastAsia" w:ascii="黑体" w:hAnsi="黑体" w:eastAsia="黑体" w:cs="黑体"/>
          <w:spacing w:val="11"/>
          <w:sz w:val="32"/>
          <w:szCs w:val="32"/>
        </w:rPr>
        <w:t xml:space="preserve">  </w:t>
      </w:r>
      <w:r>
        <w:rPr>
          <w:rFonts w:hint="eastAsia" w:ascii="黑体" w:hAnsi="黑体" w:eastAsia="黑体" w:cs="黑体"/>
          <w:spacing w:val="11"/>
          <w:sz w:val="32"/>
          <w:szCs w:val="32"/>
          <w:lang w:eastAsia="en-US"/>
        </w:rPr>
        <w:t>参赛对象、原则与赛制</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第四条[参赛对象]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参赛学生必须是浙江省高校普通全日制在校本专科法学学科（限法学、知识产权和狱政等专业）的学生以及法学硕士研究生、法律硕士研究生。在往届浙江省大学生法律职业能力竞赛征文类竞赛中获得一等奖以上奖项的学生不得参赛。学生参赛资格须由所在学校教务处审核。</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第五条[参赛原则] </w:t>
      </w:r>
      <w:r>
        <w:rPr>
          <w:rFonts w:hint="eastAsia" w:ascii="仿宋_GB2312" w:hAnsi="仿宋_GB2312" w:eastAsia="仿宋_GB2312" w:cs="仿宋_GB2312"/>
          <w:sz w:val="32"/>
          <w:szCs w:val="32"/>
        </w:rPr>
        <w:t xml:space="preserve"> 竞赛本着“学生本位、重在参与”的原则组织进行。省内各法学院校根据自愿的原则组织学生参加竞赛。</w:t>
      </w:r>
    </w:p>
    <w:p>
      <w:pPr>
        <w:widowControl/>
        <w:wordWrap w:val="0"/>
        <w:adjustRightInd w:val="0"/>
        <w:snapToGrid w:val="0"/>
        <w:spacing w:line="360" w:lineRule="auto"/>
        <w:ind w:firstLine="643" w:firstLineChars="200"/>
        <w:textAlignment w:val="baseline"/>
        <w:rPr>
          <w:rFonts w:ascii="黑体" w:hAnsi="黑体" w:eastAsia="黑体" w:cs="黑体"/>
          <w:spacing w:val="11"/>
          <w:sz w:val="32"/>
          <w:szCs w:val="32"/>
          <w:lang w:eastAsia="en-US"/>
        </w:rPr>
      </w:pPr>
      <w:r>
        <w:rPr>
          <w:rFonts w:hint="eastAsia" w:ascii="楷体" w:hAnsi="楷体" w:eastAsia="楷体" w:cs="楷体"/>
          <w:b/>
          <w:bCs/>
          <w:sz w:val="32"/>
          <w:szCs w:val="32"/>
        </w:rPr>
        <w:t xml:space="preserve">第六条[赛制]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竞赛分初赛、决赛两个阶段进行，其中，决赛包括初评（网上评审）和终评（现场答辩）两个阶段。初赛由参赛院系自行组织；决赛由浙江省大学生法律职业能力竞赛秘书处学校和具体承办学校组织。</w:t>
      </w:r>
    </w:p>
    <w:p>
      <w:pPr>
        <w:widowControl/>
        <w:wordWrap w:val="0"/>
        <w:adjustRightInd w:val="0"/>
        <w:snapToGrid w:val="0"/>
        <w:spacing w:beforeLines="50" w:afterLines="50" w:line="360" w:lineRule="auto"/>
        <w:jc w:val="center"/>
        <w:textAlignment w:val="baseline"/>
        <w:rPr>
          <w:rFonts w:ascii="黑体" w:hAnsi="黑体" w:eastAsia="黑体" w:cs="黑体"/>
          <w:spacing w:val="11"/>
          <w:sz w:val="32"/>
          <w:szCs w:val="32"/>
          <w:lang w:eastAsia="en-US"/>
        </w:rPr>
      </w:pPr>
      <w:r>
        <w:rPr>
          <w:rFonts w:hint="eastAsia" w:ascii="黑体" w:hAnsi="黑体" w:eastAsia="黑体" w:cs="黑体"/>
          <w:spacing w:val="11"/>
          <w:sz w:val="32"/>
          <w:szCs w:val="32"/>
          <w:lang w:eastAsia="en-US"/>
        </w:rPr>
        <w:t>第三章</w:t>
      </w:r>
      <w:r>
        <w:rPr>
          <w:rFonts w:hint="eastAsia" w:ascii="黑体" w:hAnsi="黑体" w:eastAsia="黑体" w:cs="黑体"/>
          <w:spacing w:val="11"/>
          <w:sz w:val="32"/>
          <w:szCs w:val="32"/>
        </w:rPr>
        <w:t xml:space="preserve">  </w:t>
      </w:r>
      <w:r>
        <w:rPr>
          <w:rFonts w:hint="eastAsia" w:ascii="黑体" w:hAnsi="黑体" w:eastAsia="黑体" w:cs="黑体"/>
          <w:spacing w:val="11"/>
          <w:sz w:val="32"/>
          <w:szCs w:val="32"/>
          <w:lang w:eastAsia="en-US"/>
        </w:rPr>
        <w:t>参赛队伍与资格确认</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第七条[队伍组成与挑选] </w:t>
      </w:r>
      <w:r>
        <w:rPr>
          <w:rFonts w:hint="eastAsia" w:ascii="仿宋_GB2312" w:hAnsi="仿宋_GB2312" w:eastAsia="仿宋_GB2312" w:cs="仿宋_GB2312"/>
          <w:sz w:val="32"/>
          <w:szCs w:val="32"/>
        </w:rPr>
        <w:t xml:space="preserve"> 各学校必须在校内选拔赛的基础上推荐参加省赛名额。参赛学校每校本专科生可报名15个队，研究生可报名9个队，每个队不超过2位学生，一位指导老师。每位学生最多可参加三个队，其中以第一作者身份参赛不超过一个队，第二作者身份参赛不超过两个队。每位指导老师最多可以指导4个本专科生队和3个研究生队。不同学历层次学生不可混合组队参赛。各参赛队伍报名截止后，相关信息原则上不得修改，不得增减及更换队员。</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独立学院作为独立参赛单位。</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第八条[报名时间及方式]  </w:t>
      </w:r>
      <w:r>
        <w:rPr>
          <w:rFonts w:hint="eastAsia" w:ascii="仿宋_GB2312" w:hAnsi="仿宋_GB2312" w:eastAsia="仿宋_GB2312" w:cs="仿宋_GB2312"/>
          <w:sz w:val="32"/>
          <w:szCs w:val="32"/>
        </w:rPr>
        <w:t>各参赛学校和参赛队伍应在规定的报名期限内，在竞赛官网完成报名和上传征文文档，逾期不予受理。</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第九条[指导与咨询] </w:t>
      </w:r>
      <w:r>
        <w:rPr>
          <w:rFonts w:hint="eastAsia" w:ascii="仿宋_GB2312" w:hAnsi="仿宋_GB2312" w:eastAsia="仿宋_GB2312" w:cs="仿宋_GB2312"/>
          <w:sz w:val="32"/>
          <w:szCs w:val="32"/>
        </w:rPr>
        <w:t xml:space="preserve"> 征文作品的撰写必须由参赛队员独立完成。</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参赛队员可以接受指导老师以及其他专家和学者的指导。指导老师的指导可以包括为参赛队员讲解有关的法律基本知识，提供有关的资料和写作技巧。</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参赛队伍可以运用图书馆、网络或其他渠道进行相关资源的搜寻与运用，不得抄袭或剽窃。如有违反学术规范的行为，取消有关队伍的参赛资格。</w:t>
      </w:r>
    </w:p>
    <w:p>
      <w:pPr>
        <w:widowControl/>
        <w:wordWrap w:val="0"/>
        <w:adjustRightInd w:val="0"/>
        <w:snapToGrid w:val="0"/>
        <w:spacing w:beforeLines="50" w:afterLines="50" w:line="360" w:lineRule="auto"/>
        <w:jc w:val="center"/>
        <w:textAlignment w:val="baseline"/>
        <w:rPr>
          <w:rFonts w:ascii="黑体" w:hAnsi="黑体" w:eastAsia="黑体" w:cs="黑体"/>
          <w:spacing w:val="11"/>
          <w:sz w:val="32"/>
          <w:szCs w:val="32"/>
          <w:lang w:eastAsia="en-US"/>
        </w:rPr>
      </w:pPr>
      <w:r>
        <w:rPr>
          <w:rFonts w:hint="eastAsia" w:ascii="黑体" w:hAnsi="黑体" w:eastAsia="黑体" w:cs="黑体"/>
          <w:spacing w:val="11"/>
          <w:sz w:val="32"/>
          <w:szCs w:val="32"/>
          <w:lang w:eastAsia="en-US"/>
        </w:rPr>
        <w:t>第四章</w:t>
      </w:r>
      <w:r>
        <w:rPr>
          <w:rFonts w:hint="eastAsia" w:ascii="黑体" w:hAnsi="黑体" w:eastAsia="黑体" w:cs="黑体"/>
          <w:spacing w:val="11"/>
          <w:sz w:val="32"/>
          <w:szCs w:val="32"/>
        </w:rPr>
        <w:t xml:space="preserve">  </w:t>
      </w:r>
      <w:r>
        <w:rPr>
          <w:rFonts w:hint="eastAsia" w:ascii="黑体" w:hAnsi="黑体" w:eastAsia="黑体" w:cs="黑体"/>
          <w:spacing w:val="11"/>
          <w:sz w:val="32"/>
          <w:szCs w:val="32"/>
          <w:lang w:eastAsia="en-US"/>
        </w:rPr>
        <w:t>竞赛流程</w:t>
      </w:r>
    </w:p>
    <w:p>
      <w:pPr>
        <w:widowControl/>
        <w:wordWrap w:val="0"/>
        <w:adjustRightInd w:val="0"/>
        <w:snapToGrid w:val="0"/>
        <w:spacing w:line="360" w:lineRule="auto"/>
        <w:ind w:firstLine="643" w:firstLineChars="200"/>
        <w:textAlignment w:val="baseline"/>
        <w:rPr>
          <w:rFonts w:ascii="楷体" w:hAnsi="楷体" w:eastAsia="楷体" w:cs="楷体"/>
          <w:b/>
          <w:bCs/>
          <w:sz w:val="32"/>
          <w:szCs w:val="32"/>
        </w:rPr>
      </w:pPr>
      <w:r>
        <w:rPr>
          <w:rFonts w:hint="eastAsia" w:ascii="楷体" w:hAnsi="楷体" w:eastAsia="楷体" w:cs="楷体"/>
          <w:b/>
          <w:bCs/>
          <w:sz w:val="32"/>
          <w:szCs w:val="32"/>
        </w:rPr>
        <w:t>（一）初赛</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第十条[初赛] </w:t>
      </w:r>
      <w:r>
        <w:rPr>
          <w:rFonts w:hint="eastAsia" w:ascii="仿宋_GB2312" w:hAnsi="仿宋_GB2312" w:eastAsia="仿宋_GB2312" w:cs="仿宋_GB2312"/>
          <w:sz w:val="32"/>
          <w:szCs w:val="32"/>
        </w:rPr>
        <w:t xml:space="preserve"> 初赛由各参赛学校自行组织，在完成校内选拔的基础上推荐参加省赛名额。</w:t>
      </w:r>
    </w:p>
    <w:p>
      <w:pPr>
        <w:widowControl/>
        <w:wordWrap w:val="0"/>
        <w:adjustRightInd w:val="0"/>
        <w:snapToGrid w:val="0"/>
        <w:spacing w:line="360" w:lineRule="auto"/>
        <w:ind w:firstLine="643" w:firstLineChars="200"/>
        <w:textAlignment w:val="baseline"/>
        <w:rPr>
          <w:rFonts w:ascii="楷体" w:hAnsi="楷体" w:eastAsia="楷体" w:cs="楷体"/>
          <w:b/>
          <w:bCs/>
          <w:sz w:val="32"/>
          <w:szCs w:val="32"/>
        </w:rPr>
      </w:pPr>
      <w:r>
        <w:rPr>
          <w:rFonts w:hint="eastAsia" w:ascii="楷体" w:hAnsi="楷体" w:eastAsia="楷体" w:cs="楷体"/>
          <w:b/>
          <w:bCs/>
          <w:sz w:val="32"/>
          <w:szCs w:val="32"/>
        </w:rPr>
        <w:t>（二）决赛</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第十一条[决赛组成] </w:t>
      </w:r>
      <w:r>
        <w:rPr>
          <w:rFonts w:hint="eastAsia" w:ascii="仿宋_GB2312" w:hAnsi="仿宋_GB2312" w:eastAsia="仿宋_GB2312" w:cs="仿宋_GB2312"/>
          <w:sz w:val="32"/>
          <w:szCs w:val="32"/>
        </w:rPr>
        <w:t xml:space="preserve"> 决赛由网络评审和现场评审两个阶段组成。按照网评阶段得分高低取一定比例（具体比例由竞赛委员会根据报名情况决定）进入现场评审。</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参加现场评审的选手由入围队伍的第一作者担任。</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第十二条[决赛命题]</w:t>
      </w:r>
      <w:r>
        <w:rPr>
          <w:rFonts w:hint="eastAsia" w:ascii="仿宋_GB2312" w:hAnsi="仿宋_GB2312" w:eastAsia="仿宋_GB2312" w:cs="仿宋_GB2312"/>
          <w:sz w:val="32"/>
          <w:szCs w:val="32"/>
        </w:rPr>
        <w:t xml:space="preserve">  决赛采用固定命题的方式，选题由专家委员会确定。</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第十三条[网络评审材料] </w:t>
      </w:r>
      <w:r>
        <w:rPr>
          <w:rFonts w:hint="eastAsia" w:ascii="仿宋_GB2312" w:hAnsi="仿宋_GB2312" w:eastAsia="仿宋_GB2312" w:cs="仿宋_GB2312"/>
          <w:sz w:val="32"/>
          <w:szCs w:val="32"/>
        </w:rPr>
        <w:t xml:space="preserve"> 网评材料应在规定的时间内提交，逾期不另组织网评，网评材料的形式及规格应遵守竞赛办公室的要求。</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第十四条[网络评审形式] </w:t>
      </w:r>
      <w:r>
        <w:rPr>
          <w:rFonts w:hint="eastAsia" w:ascii="仿宋_GB2312" w:hAnsi="仿宋_GB2312" w:eastAsia="仿宋_GB2312" w:cs="仿宋_GB2312"/>
          <w:sz w:val="32"/>
          <w:szCs w:val="32"/>
        </w:rPr>
        <w:t xml:space="preserve"> 采取专家网上评审方式进行，形式为双向匿名。</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第十五条[竞赛流程] </w:t>
      </w:r>
      <w:r>
        <w:rPr>
          <w:rFonts w:hint="eastAsia" w:ascii="仿宋_GB2312" w:hAnsi="仿宋_GB2312" w:eastAsia="仿宋_GB2312" w:cs="仿宋_GB2312"/>
          <w:sz w:val="32"/>
          <w:szCs w:val="32"/>
        </w:rPr>
        <w:t xml:space="preserve"> 竞赛遵守如下流程：</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1．参赛队伍登录竞赛网上传征文。</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2．竞赛办公室组织网络评审。</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3．入围现场评审的队伍进行现场答辩。</w:t>
      </w:r>
    </w:p>
    <w:p>
      <w:pPr>
        <w:widowControl/>
        <w:wordWrap w:val="0"/>
        <w:adjustRightInd w:val="0"/>
        <w:snapToGrid w:val="0"/>
        <w:spacing w:afterLines="50" w:line="360" w:lineRule="auto"/>
        <w:jc w:val="center"/>
        <w:textAlignment w:val="baseline"/>
        <w:rPr>
          <w:rFonts w:ascii="黑体" w:hAnsi="黑体" w:eastAsia="黑体" w:cs="黑体"/>
          <w:spacing w:val="11"/>
          <w:sz w:val="32"/>
          <w:szCs w:val="32"/>
          <w:lang w:eastAsia="en-US"/>
        </w:rPr>
      </w:pPr>
      <w:r>
        <w:rPr>
          <w:rFonts w:hint="eastAsia" w:ascii="黑体" w:hAnsi="黑体" w:eastAsia="黑体" w:cs="黑体"/>
          <w:spacing w:val="11"/>
          <w:sz w:val="32"/>
          <w:szCs w:val="32"/>
          <w:lang w:eastAsia="en-US"/>
        </w:rPr>
        <w:t>第五章</w:t>
      </w:r>
      <w:r>
        <w:rPr>
          <w:rFonts w:hint="eastAsia" w:ascii="黑体" w:hAnsi="黑体" w:eastAsia="黑体" w:cs="黑体"/>
          <w:spacing w:val="11"/>
          <w:sz w:val="32"/>
          <w:szCs w:val="32"/>
        </w:rPr>
        <w:t xml:space="preserve">  </w:t>
      </w:r>
      <w:r>
        <w:rPr>
          <w:rFonts w:hint="eastAsia" w:ascii="黑体" w:hAnsi="黑体" w:eastAsia="黑体" w:cs="黑体"/>
          <w:spacing w:val="11"/>
          <w:sz w:val="32"/>
          <w:szCs w:val="32"/>
          <w:lang w:eastAsia="en-US"/>
        </w:rPr>
        <w:t>征文规则</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第十六条[作品要求] </w:t>
      </w:r>
      <w:r>
        <w:rPr>
          <w:rFonts w:hint="eastAsia" w:ascii="仿宋_GB2312" w:hAnsi="仿宋_GB2312" w:eastAsia="仿宋_GB2312" w:cs="仿宋_GB2312"/>
          <w:sz w:val="32"/>
          <w:szCs w:val="32"/>
        </w:rPr>
        <w:t xml:space="preserve"> 作品体裁为学术论文和研究报告，字数为8000—20000字（含注释），要求主题突出、条理清楚、观点明确，格式规范参照《法学研究》杂志。</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参赛作品须为作者原创论文，不得剽窃、抄袭他人作品，能通过学术不端检测（查重比例不高于25%），并且未曾在正式出版物上公开发表。</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参赛作品中不得出现学校、作者及指导教师等任何可以识别作者身份的信息。</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第十七条[现场评审] </w:t>
      </w:r>
      <w:r>
        <w:rPr>
          <w:rFonts w:hint="eastAsia" w:ascii="仿宋_GB2312" w:hAnsi="仿宋_GB2312" w:eastAsia="仿宋_GB2312" w:cs="仿宋_GB2312"/>
          <w:sz w:val="32"/>
          <w:szCs w:val="32"/>
        </w:rPr>
        <w:t xml:space="preserve"> 现场评审采取现场答辩方式进行。每名选手答辩包括个人对作品陈述和专家提问两个环节，用时不超过10分钟，其中个人对作品陈述不超过3分钟。</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整个答辩过程中，选手不得以任何方式透露其所在学校、指导教师等信息，参赛学生不得作自我介绍。</w:t>
      </w:r>
    </w:p>
    <w:p>
      <w:pPr>
        <w:widowControl/>
        <w:wordWrap w:val="0"/>
        <w:adjustRightInd w:val="0"/>
        <w:snapToGrid w:val="0"/>
        <w:spacing w:afterLines="50" w:line="360" w:lineRule="auto"/>
        <w:jc w:val="center"/>
        <w:textAlignment w:val="baseline"/>
        <w:rPr>
          <w:rFonts w:ascii="黑体" w:hAnsi="黑体" w:eastAsia="黑体" w:cs="黑体"/>
          <w:spacing w:val="11"/>
          <w:sz w:val="32"/>
          <w:szCs w:val="32"/>
          <w:lang w:eastAsia="en-US"/>
        </w:rPr>
      </w:pPr>
      <w:r>
        <w:rPr>
          <w:rFonts w:hint="eastAsia" w:ascii="黑体" w:hAnsi="黑体" w:eastAsia="黑体" w:cs="黑体"/>
          <w:spacing w:val="11"/>
          <w:sz w:val="32"/>
          <w:szCs w:val="32"/>
          <w:lang w:eastAsia="en-US"/>
        </w:rPr>
        <w:t>第六章</w:t>
      </w:r>
      <w:r>
        <w:rPr>
          <w:rFonts w:hint="eastAsia" w:ascii="黑体" w:hAnsi="黑体" w:eastAsia="黑体" w:cs="黑体"/>
          <w:spacing w:val="11"/>
          <w:sz w:val="32"/>
          <w:szCs w:val="32"/>
        </w:rPr>
        <w:t xml:space="preserve">  </w:t>
      </w:r>
      <w:r>
        <w:rPr>
          <w:rFonts w:hint="eastAsia" w:ascii="黑体" w:hAnsi="黑体" w:eastAsia="黑体" w:cs="黑体"/>
          <w:spacing w:val="11"/>
          <w:sz w:val="32"/>
          <w:szCs w:val="32"/>
          <w:lang w:eastAsia="en-US"/>
        </w:rPr>
        <w:t>评委会</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第十八条[评委会的组成]</w:t>
      </w:r>
      <w:r>
        <w:rPr>
          <w:rFonts w:hint="eastAsia" w:ascii="仿宋_GB2312" w:hAnsi="仿宋_GB2312" w:eastAsia="仿宋_GB2312" w:cs="仿宋_GB2312"/>
          <w:sz w:val="32"/>
          <w:szCs w:val="32"/>
        </w:rPr>
        <w:t xml:space="preserve">  网评评委会由三至五位评委组成。现场评审评委会由五至七位评委组成。</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评委由各参赛高校推荐产生。</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第十九条[评分标准] </w:t>
      </w:r>
      <w:r>
        <w:rPr>
          <w:rFonts w:hint="eastAsia" w:ascii="仿宋_GB2312" w:hAnsi="仿宋_GB2312" w:eastAsia="仿宋_GB2312" w:cs="仿宋_GB2312"/>
          <w:sz w:val="32"/>
          <w:szCs w:val="32"/>
        </w:rPr>
        <w:t xml:space="preserve"> 征文类评分标准：</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1.网络评审标准：</w:t>
      </w:r>
    </w:p>
    <w:tbl>
      <w:tblPr>
        <w:tblStyle w:val="7"/>
        <w:tblpPr w:leftFromText="180" w:rightFromText="180" w:vertAnchor="text" w:horzAnchor="page" w:tblpXSpec="center" w:tblpY="3"/>
        <w:tblOverlap w:val="never"/>
        <w:tblW w:w="83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7"/>
        <w:gridCol w:w="6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1497" w:type="dxa"/>
            <w:vAlign w:val="center"/>
          </w:tcPr>
          <w:p>
            <w:pPr>
              <w:widowControl/>
              <w:wordWrap w:val="0"/>
              <w:adjustRightInd w:val="0"/>
              <w:snapToGrid w:val="0"/>
              <w:jc w:val="center"/>
              <w:textAlignment w:val="baseline"/>
              <w:rPr>
                <w:rFonts w:ascii="黑体" w:hAnsi="黑体" w:eastAsia="黑体" w:cs="黑体"/>
                <w:b/>
                <w:bCs/>
                <w:spacing w:val="11"/>
                <w:sz w:val="32"/>
                <w:szCs w:val="32"/>
              </w:rPr>
            </w:pPr>
            <w:r>
              <w:rPr>
                <w:rFonts w:hint="eastAsia" w:ascii="黑体" w:hAnsi="黑体" w:eastAsia="黑体" w:cs="黑体"/>
                <w:b/>
                <w:bCs/>
                <w:spacing w:val="11"/>
                <w:sz w:val="32"/>
                <w:szCs w:val="32"/>
              </w:rPr>
              <w:t>项目</w:t>
            </w:r>
          </w:p>
        </w:tc>
        <w:tc>
          <w:tcPr>
            <w:tcW w:w="6889" w:type="dxa"/>
            <w:vAlign w:val="center"/>
          </w:tcPr>
          <w:p>
            <w:pPr>
              <w:widowControl/>
              <w:wordWrap w:val="0"/>
              <w:adjustRightInd w:val="0"/>
              <w:snapToGrid w:val="0"/>
              <w:jc w:val="center"/>
              <w:textAlignment w:val="baseline"/>
              <w:rPr>
                <w:rFonts w:ascii="黑体" w:hAnsi="黑体" w:eastAsia="黑体" w:cs="黑体"/>
                <w:b/>
                <w:bCs/>
                <w:spacing w:val="11"/>
                <w:sz w:val="32"/>
                <w:szCs w:val="32"/>
              </w:rPr>
            </w:pPr>
            <w:r>
              <w:rPr>
                <w:rFonts w:hint="eastAsia" w:ascii="黑体" w:hAnsi="黑体" w:eastAsia="黑体" w:cs="黑体"/>
                <w:b/>
                <w:bCs/>
                <w:spacing w:val="11"/>
                <w:sz w:val="32"/>
                <w:szCs w:val="32"/>
              </w:rPr>
              <w:t>评分说明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jc w:val="center"/>
        </w:trPr>
        <w:tc>
          <w:tcPr>
            <w:tcW w:w="1497" w:type="dxa"/>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选题</w:t>
            </w:r>
          </w:p>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（20分）</w:t>
            </w:r>
          </w:p>
        </w:tc>
        <w:tc>
          <w:tcPr>
            <w:tcW w:w="6889" w:type="dxa"/>
            <w:vAlign w:val="center"/>
          </w:tcPr>
          <w:p>
            <w:pPr>
              <w:widowControl/>
              <w:wordWrap w:val="0"/>
              <w:adjustRightInd w:val="0"/>
              <w:snapToGrid w:val="0"/>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选题具有新颖性，属于无人涉足的学术或实务范畴，或者学科前沿的理论探讨，或者老问题的新视角考察或新技术新方法的运用，或者域外新理论新观点的引进推广等。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1497" w:type="dxa"/>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论证</w:t>
            </w:r>
          </w:p>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（20分）</w:t>
            </w:r>
          </w:p>
        </w:tc>
        <w:tc>
          <w:tcPr>
            <w:tcW w:w="6889" w:type="dxa"/>
            <w:vAlign w:val="center"/>
          </w:tcPr>
          <w:p>
            <w:pPr>
              <w:widowControl/>
              <w:wordWrap w:val="0"/>
              <w:adjustRightInd w:val="0"/>
              <w:snapToGrid w:val="0"/>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结构严谨，层次分明，富有逻辑性，剖析问题全面，资料翔实，论据充分，能够支持文章论点。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1497" w:type="dxa"/>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创新性</w:t>
            </w:r>
          </w:p>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（20分）</w:t>
            </w:r>
          </w:p>
        </w:tc>
        <w:tc>
          <w:tcPr>
            <w:tcW w:w="6889" w:type="dxa"/>
            <w:vAlign w:val="center"/>
          </w:tcPr>
          <w:p>
            <w:pPr>
              <w:widowControl/>
              <w:wordWrap w:val="0"/>
              <w:adjustRightInd w:val="0"/>
              <w:snapToGrid w:val="0"/>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属于前沿性、原创性文章，表达出新见解、新观点，或在某一方面、某一点上能给人以新的启迪。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1497" w:type="dxa"/>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研究方法</w:t>
            </w:r>
          </w:p>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（20分）</w:t>
            </w:r>
          </w:p>
        </w:tc>
        <w:tc>
          <w:tcPr>
            <w:tcW w:w="6889" w:type="dxa"/>
            <w:vAlign w:val="center"/>
          </w:tcPr>
          <w:p>
            <w:pPr>
              <w:widowControl/>
              <w:wordWrap w:val="0"/>
              <w:adjustRightInd w:val="0"/>
              <w:snapToGrid w:val="0"/>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使用的研究工具和手段具有科学性、实用性和多样性，能推动发现新现象、新事物，或提出新理论、新观点，揭示事物内在规律。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jc w:val="center"/>
        </w:trPr>
        <w:tc>
          <w:tcPr>
            <w:tcW w:w="1497" w:type="dxa"/>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写作规范</w:t>
            </w:r>
          </w:p>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（20分）</w:t>
            </w:r>
          </w:p>
        </w:tc>
        <w:tc>
          <w:tcPr>
            <w:tcW w:w="6889" w:type="dxa"/>
            <w:vAlign w:val="center"/>
          </w:tcPr>
          <w:p>
            <w:pPr>
              <w:widowControl/>
              <w:wordWrap w:val="0"/>
              <w:adjustRightInd w:val="0"/>
              <w:snapToGrid w:val="0"/>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文字优美，语言流畅，表达清晰，遵守学术道德，符合学术规范。</w:t>
            </w:r>
          </w:p>
        </w:tc>
      </w:tr>
    </w:tbl>
    <w:p>
      <w:pPr>
        <w:widowControl/>
        <w:wordWrap w:val="0"/>
        <w:adjustRightInd w:val="0"/>
        <w:snapToGrid w:val="0"/>
        <w:spacing w:line="360" w:lineRule="auto"/>
        <w:ind w:firstLine="684" w:firstLineChars="200"/>
        <w:textAlignment w:val="baseline"/>
        <w:rPr>
          <w:rFonts w:ascii="仿宋_GB2312" w:hAnsi="仿宋_GB2312" w:eastAsia="仿宋_GB2312" w:cs="仿宋_GB2312"/>
          <w:spacing w:val="11"/>
          <w:sz w:val="32"/>
          <w:szCs w:val="32"/>
        </w:rPr>
      </w:pPr>
    </w:p>
    <w:p>
      <w:pPr>
        <w:widowControl/>
        <w:wordWrap w:val="0"/>
        <w:adjustRightInd w:val="0"/>
        <w:snapToGrid w:val="0"/>
        <w:spacing w:line="360" w:lineRule="auto"/>
        <w:ind w:firstLine="684" w:firstLineChars="200"/>
        <w:textAlignment w:val="baseline"/>
        <w:rPr>
          <w:rFonts w:ascii="仿宋_GB2312" w:hAnsi="仿宋_GB2312" w:eastAsia="仿宋_GB2312" w:cs="仿宋_GB2312"/>
          <w:spacing w:val="11"/>
          <w:sz w:val="32"/>
          <w:szCs w:val="32"/>
        </w:rPr>
      </w:pPr>
    </w:p>
    <w:p>
      <w:pPr>
        <w:widowControl/>
        <w:wordWrap w:val="0"/>
        <w:adjustRightInd w:val="0"/>
        <w:snapToGrid w:val="0"/>
        <w:spacing w:line="360" w:lineRule="auto"/>
        <w:ind w:firstLine="684" w:firstLineChars="200"/>
        <w:textAlignment w:val="baseline"/>
        <w:rPr>
          <w:rFonts w:ascii="仿宋_GB2312" w:hAnsi="仿宋_GB2312" w:eastAsia="仿宋_GB2312" w:cs="仿宋_GB2312"/>
          <w:spacing w:val="11"/>
          <w:sz w:val="32"/>
          <w:szCs w:val="32"/>
        </w:rPr>
      </w:pPr>
    </w:p>
    <w:p>
      <w:pPr>
        <w:widowControl/>
        <w:wordWrap w:val="0"/>
        <w:adjustRightInd w:val="0"/>
        <w:snapToGrid w:val="0"/>
        <w:spacing w:line="360" w:lineRule="auto"/>
        <w:ind w:firstLine="684" w:firstLineChars="200"/>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2.现场评审标准：</w:t>
      </w:r>
    </w:p>
    <w:tbl>
      <w:tblPr>
        <w:tblStyle w:val="7"/>
        <w:tblW w:w="8506"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6"/>
        <w:gridCol w:w="2054"/>
        <w:gridCol w:w="5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306" w:type="dxa"/>
            <w:vAlign w:val="center"/>
          </w:tcPr>
          <w:p>
            <w:pPr>
              <w:widowControl/>
              <w:wordWrap w:val="0"/>
              <w:adjustRightInd w:val="0"/>
              <w:snapToGrid w:val="0"/>
              <w:jc w:val="center"/>
              <w:textAlignment w:val="baseline"/>
              <w:rPr>
                <w:rFonts w:ascii="黑体" w:hAnsi="黑体" w:eastAsia="黑体" w:cs="黑体"/>
                <w:spacing w:val="11"/>
                <w:sz w:val="32"/>
                <w:szCs w:val="32"/>
              </w:rPr>
            </w:pPr>
            <w:r>
              <w:rPr>
                <w:rFonts w:hint="eastAsia" w:ascii="黑体" w:hAnsi="黑体" w:eastAsia="黑体" w:cs="黑体"/>
                <w:spacing w:val="11"/>
                <w:sz w:val="32"/>
                <w:szCs w:val="32"/>
              </w:rPr>
              <w:t>项目</w:t>
            </w:r>
          </w:p>
        </w:tc>
        <w:tc>
          <w:tcPr>
            <w:tcW w:w="2054" w:type="dxa"/>
            <w:vAlign w:val="center"/>
          </w:tcPr>
          <w:p>
            <w:pPr>
              <w:widowControl/>
              <w:wordWrap w:val="0"/>
              <w:adjustRightInd w:val="0"/>
              <w:snapToGrid w:val="0"/>
              <w:jc w:val="center"/>
              <w:textAlignment w:val="baseline"/>
              <w:rPr>
                <w:rFonts w:ascii="黑体" w:hAnsi="黑体" w:eastAsia="黑体" w:cs="黑体"/>
                <w:spacing w:val="11"/>
                <w:sz w:val="32"/>
                <w:szCs w:val="32"/>
              </w:rPr>
            </w:pPr>
            <w:r>
              <w:rPr>
                <w:rFonts w:hint="eastAsia" w:ascii="黑体" w:hAnsi="黑体" w:eastAsia="黑体" w:cs="黑体"/>
                <w:spacing w:val="11"/>
                <w:sz w:val="32"/>
                <w:szCs w:val="32"/>
              </w:rPr>
              <w:t>内容</w:t>
            </w:r>
          </w:p>
        </w:tc>
        <w:tc>
          <w:tcPr>
            <w:tcW w:w="5146" w:type="dxa"/>
            <w:vAlign w:val="center"/>
          </w:tcPr>
          <w:p>
            <w:pPr>
              <w:widowControl/>
              <w:wordWrap w:val="0"/>
              <w:adjustRightInd w:val="0"/>
              <w:snapToGrid w:val="0"/>
              <w:jc w:val="center"/>
              <w:textAlignment w:val="baseline"/>
              <w:rPr>
                <w:rFonts w:ascii="黑体" w:hAnsi="黑体" w:eastAsia="黑体" w:cs="黑体"/>
                <w:spacing w:val="11"/>
                <w:sz w:val="32"/>
                <w:szCs w:val="32"/>
              </w:rPr>
            </w:pPr>
            <w:r>
              <w:rPr>
                <w:rFonts w:hint="eastAsia" w:ascii="黑体" w:hAnsi="黑体" w:eastAsia="黑体" w:cs="黑体"/>
                <w:spacing w:val="11"/>
                <w:sz w:val="32"/>
                <w:szCs w:val="32"/>
              </w:rPr>
              <w:t>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05" w:hRule="atLeast"/>
        </w:trPr>
        <w:tc>
          <w:tcPr>
            <w:tcW w:w="1306" w:type="dxa"/>
            <w:vMerge w:val="restart"/>
            <w:tcBorders>
              <w:bottom w:val="nil"/>
            </w:tcBorders>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作品</w:t>
            </w:r>
          </w:p>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陈述</w:t>
            </w:r>
          </w:p>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（40分）</w:t>
            </w:r>
          </w:p>
        </w:tc>
        <w:tc>
          <w:tcPr>
            <w:tcW w:w="2054" w:type="dxa"/>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文章选题（50%）</w:t>
            </w:r>
          </w:p>
        </w:tc>
        <w:tc>
          <w:tcPr>
            <w:tcW w:w="5146" w:type="dxa"/>
            <w:vAlign w:val="center"/>
          </w:tcPr>
          <w:p>
            <w:pPr>
              <w:widowControl/>
              <w:wordWrap w:val="0"/>
              <w:adjustRightInd w:val="0"/>
              <w:snapToGrid w:val="0"/>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征文选题是否与竞赛主题相契合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306" w:type="dxa"/>
            <w:vMerge w:val="continue"/>
            <w:tcBorders>
              <w:top w:val="nil"/>
              <w:bottom w:val="nil"/>
            </w:tcBorders>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p>
        </w:tc>
        <w:tc>
          <w:tcPr>
            <w:tcW w:w="2054" w:type="dxa"/>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作品内容陈述</w:t>
            </w:r>
          </w:p>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（40%）</w:t>
            </w:r>
          </w:p>
        </w:tc>
        <w:tc>
          <w:tcPr>
            <w:tcW w:w="5146" w:type="dxa"/>
            <w:vAlign w:val="center"/>
          </w:tcPr>
          <w:p>
            <w:pPr>
              <w:widowControl/>
              <w:wordWrap w:val="0"/>
              <w:adjustRightInd w:val="0"/>
              <w:snapToGrid w:val="0"/>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选手陈述是否能够简要概括论文的结构、主要观点、研究方法和创新性。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06" w:type="dxa"/>
            <w:vMerge w:val="continue"/>
            <w:tcBorders>
              <w:top w:val="nil"/>
              <w:bottom w:val="single" w:color="auto" w:sz="4" w:space="0"/>
            </w:tcBorders>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p>
        </w:tc>
        <w:tc>
          <w:tcPr>
            <w:tcW w:w="2054" w:type="dxa"/>
            <w:vAlign w:val="center"/>
          </w:tcPr>
          <w:p>
            <w:pPr>
              <w:widowControl/>
              <w:tabs>
                <w:tab w:val="center" w:pos="1604"/>
                <w:tab w:val="right" w:pos="3090"/>
              </w:tabs>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口头表达能力</w:t>
            </w:r>
          </w:p>
          <w:p>
            <w:pPr>
              <w:widowControl/>
              <w:tabs>
                <w:tab w:val="center" w:pos="1604"/>
                <w:tab w:val="right" w:pos="3090"/>
              </w:tabs>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（10%）</w:t>
            </w:r>
          </w:p>
        </w:tc>
        <w:tc>
          <w:tcPr>
            <w:tcW w:w="5146" w:type="dxa"/>
            <w:vAlign w:val="center"/>
          </w:tcPr>
          <w:p>
            <w:pPr>
              <w:widowControl/>
              <w:wordWrap w:val="0"/>
              <w:adjustRightInd w:val="0"/>
              <w:snapToGrid w:val="0"/>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介绍者的口头表达能力，思路是否清晰。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306" w:type="dxa"/>
            <w:vMerge w:val="restart"/>
            <w:tcBorders>
              <w:top w:val="single" w:color="auto" w:sz="4" w:space="0"/>
              <w:left w:val="single" w:color="auto" w:sz="4" w:space="0"/>
              <w:right w:val="single" w:color="auto" w:sz="4" w:space="0"/>
            </w:tcBorders>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专家提问</w:t>
            </w:r>
          </w:p>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（60分）</w:t>
            </w:r>
          </w:p>
        </w:tc>
        <w:tc>
          <w:tcPr>
            <w:tcW w:w="2054" w:type="dxa"/>
            <w:tcBorders>
              <w:left w:val="single" w:color="auto" w:sz="4" w:space="0"/>
            </w:tcBorders>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文章的原创性、</w:t>
            </w:r>
          </w:p>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准确性</w:t>
            </w:r>
          </w:p>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（60%）</w:t>
            </w:r>
          </w:p>
        </w:tc>
        <w:tc>
          <w:tcPr>
            <w:tcW w:w="5146" w:type="dxa"/>
            <w:vAlign w:val="center"/>
          </w:tcPr>
          <w:p>
            <w:pPr>
              <w:widowControl/>
              <w:wordWrap w:val="0"/>
              <w:adjustRightInd w:val="0"/>
              <w:snapToGrid w:val="0"/>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考察文章是否选手原创，选手能否准确理解评委所提的问题，回答问题是否符合客观实际。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306" w:type="dxa"/>
            <w:vMerge w:val="continue"/>
            <w:tcBorders>
              <w:left w:val="single" w:color="auto" w:sz="4" w:space="0"/>
              <w:right w:val="single" w:color="auto" w:sz="4" w:space="0"/>
            </w:tcBorders>
            <w:vAlign w:val="center"/>
          </w:tcPr>
          <w:p>
            <w:pPr>
              <w:widowControl/>
              <w:tabs>
                <w:tab w:val="center" w:pos="1604"/>
                <w:tab w:val="right" w:pos="3090"/>
              </w:tabs>
              <w:wordWrap w:val="0"/>
              <w:adjustRightInd w:val="0"/>
              <w:snapToGrid w:val="0"/>
              <w:jc w:val="center"/>
              <w:textAlignment w:val="baseline"/>
              <w:rPr>
                <w:rFonts w:ascii="仿宋_GB2312" w:hAnsi="仿宋_GB2312" w:eastAsia="仿宋_GB2312" w:cs="仿宋_GB2312"/>
                <w:sz w:val="32"/>
                <w:szCs w:val="32"/>
              </w:rPr>
            </w:pPr>
          </w:p>
        </w:tc>
        <w:tc>
          <w:tcPr>
            <w:tcW w:w="2054" w:type="dxa"/>
            <w:tcBorders>
              <w:left w:val="single" w:color="auto" w:sz="4" w:space="0"/>
            </w:tcBorders>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逻辑性（20%）</w:t>
            </w:r>
          </w:p>
        </w:tc>
        <w:tc>
          <w:tcPr>
            <w:tcW w:w="5146" w:type="dxa"/>
            <w:vAlign w:val="center"/>
          </w:tcPr>
          <w:p>
            <w:pPr>
              <w:widowControl/>
              <w:wordWrap w:val="0"/>
              <w:adjustRightInd w:val="0"/>
              <w:snapToGrid w:val="0"/>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回答问题的逻辑是否严密，论证是否充分。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306" w:type="dxa"/>
            <w:vMerge w:val="continue"/>
            <w:tcBorders>
              <w:left w:val="single" w:color="auto" w:sz="4" w:space="0"/>
              <w:bottom w:val="single" w:color="auto" w:sz="4" w:space="0"/>
              <w:right w:val="single" w:color="auto" w:sz="4" w:space="0"/>
            </w:tcBorders>
            <w:vAlign w:val="center"/>
          </w:tcPr>
          <w:p>
            <w:pPr>
              <w:widowControl/>
              <w:tabs>
                <w:tab w:val="center" w:pos="1604"/>
                <w:tab w:val="right" w:pos="3090"/>
              </w:tabs>
              <w:wordWrap w:val="0"/>
              <w:adjustRightInd w:val="0"/>
              <w:snapToGrid w:val="0"/>
              <w:jc w:val="center"/>
              <w:textAlignment w:val="baseline"/>
              <w:rPr>
                <w:rFonts w:ascii="仿宋_GB2312" w:hAnsi="仿宋_GB2312" w:eastAsia="仿宋_GB2312" w:cs="仿宋_GB2312"/>
                <w:spacing w:val="11"/>
                <w:sz w:val="32"/>
                <w:szCs w:val="32"/>
              </w:rPr>
            </w:pPr>
          </w:p>
        </w:tc>
        <w:tc>
          <w:tcPr>
            <w:tcW w:w="2054" w:type="dxa"/>
            <w:tcBorders>
              <w:left w:val="single" w:color="auto" w:sz="4" w:space="0"/>
            </w:tcBorders>
            <w:vAlign w:val="center"/>
          </w:tcPr>
          <w:p>
            <w:pPr>
              <w:widowControl/>
              <w:wordWrap w:val="0"/>
              <w:adjustRightInd w:val="0"/>
              <w:snapToGrid w:val="0"/>
              <w:jc w:val="center"/>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反应速度（20%）</w:t>
            </w:r>
          </w:p>
        </w:tc>
        <w:tc>
          <w:tcPr>
            <w:tcW w:w="5146" w:type="dxa"/>
            <w:vAlign w:val="center"/>
          </w:tcPr>
          <w:p>
            <w:pPr>
              <w:widowControl/>
              <w:wordWrap w:val="0"/>
              <w:adjustRightInd w:val="0"/>
              <w:snapToGrid w:val="0"/>
              <w:textAlignment w:val="baseline"/>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回答问题是否准确、及时。</w:t>
            </w:r>
          </w:p>
        </w:tc>
      </w:tr>
    </w:tbl>
    <w:p>
      <w:pPr>
        <w:widowControl/>
        <w:wordWrap w:val="0"/>
        <w:adjustRightInd w:val="0"/>
        <w:snapToGrid w:val="0"/>
        <w:spacing w:line="360" w:lineRule="auto"/>
        <w:textAlignment w:val="baseline"/>
        <w:rPr>
          <w:spacing w:val="11"/>
          <w:sz w:val="32"/>
          <w:szCs w:val="32"/>
        </w:rPr>
      </w:pP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第二十条[评委打分] </w:t>
      </w:r>
      <w:r>
        <w:rPr>
          <w:rFonts w:hint="eastAsia" w:ascii="仿宋_GB2312" w:hAnsi="仿宋_GB2312" w:eastAsia="仿宋_GB2312" w:cs="仿宋_GB2312"/>
          <w:sz w:val="32"/>
          <w:szCs w:val="32"/>
        </w:rPr>
        <w:t xml:space="preserve"> 未进入现场评审环节的作品的网评成绩为最终成绩；进入现场评审环节的作品最终成绩按网评成绩×70%+现场评审成绩×30%计算。</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参赛队伍的现场评审成绩为现场评审专家评分（去掉一个最高分和一个最低分）的平均值。</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参赛队伍的现场评审成绩在每场比赛的上半场和下半场中各公布一次。</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p>
    <w:p>
      <w:pPr>
        <w:widowControl/>
        <w:wordWrap w:val="0"/>
        <w:adjustRightInd w:val="0"/>
        <w:snapToGrid w:val="0"/>
        <w:spacing w:afterLines="50" w:line="360" w:lineRule="auto"/>
        <w:jc w:val="center"/>
        <w:textAlignment w:val="baseline"/>
        <w:rPr>
          <w:rFonts w:ascii="黑体" w:hAnsi="黑体" w:eastAsia="黑体" w:cs="黑体"/>
          <w:spacing w:val="11"/>
          <w:sz w:val="32"/>
          <w:szCs w:val="32"/>
          <w:lang w:eastAsia="en-US"/>
        </w:rPr>
      </w:pPr>
    </w:p>
    <w:p>
      <w:pPr>
        <w:widowControl/>
        <w:wordWrap w:val="0"/>
        <w:adjustRightInd w:val="0"/>
        <w:snapToGrid w:val="0"/>
        <w:spacing w:afterLines="50" w:line="360" w:lineRule="auto"/>
        <w:jc w:val="center"/>
        <w:textAlignment w:val="baseline"/>
        <w:rPr>
          <w:rFonts w:ascii="黑体" w:hAnsi="黑体" w:eastAsia="黑体" w:cs="黑体"/>
          <w:spacing w:val="11"/>
          <w:sz w:val="32"/>
          <w:szCs w:val="32"/>
          <w:lang w:eastAsia="en-US"/>
        </w:rPr>
      </w:pPr>
      <w:r>
        <w:rPr>
          <w:rFonts w:hint="eastAsia" w:ascii="黑体" w:hAnsi="黑体" w:eastAsia="黑体" w:cs="黑体"/>
          <w:spacing w:val="11"/>
          <w:sz w:val="32"/>
          <w:szCs w:val="32"/>
          <w:lang w:eastAsia="en-US"/>
        </w:rPr>
        <w:t>第七章</w:t>
      </w:r>
      <w:r>
        <w:rPr>
          <w:rFonts w:hint="eastAsia" w:ascii="黑体" w:hAnsi="黑体" w:eastAsia="黑体" w:cs="黑体"/>
          <w:spacing w:val="11"/>
          <w:sz w:val="32"/>
          <w:szCs w:val="32"/>
        </w:rPr>
        <w:t xml:space="preserve">  </w:t>
      </w:r>
      <w:r>
        <w:rPr>
          <w:rFonts w:hint="eastAsia" w:ascii="黑体" w:hAnsi="黑体" w:eastAsia="黑体" w:cs="黑体"/>
          <w:spacing w:val="11"/>
          <w:sz w:val="32"/>
          <w:szCs w:val="32"/>
          <w:lang w:eastAsia="en-US"/>
        </w:rPr>
        <w:t>罚则及救济</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第二十一条[作品违规的处罚]</w:t>
      </w:r>
      <w:r>
        <w:rPr>
          <w:rFonts w:hint="eastAsia" w:ascii="仿宋_GB2312" w:hAnsi="仿宋_GB2312" w:eastAsia="仿宋_GB2312" w:cs="仿宋_GB2312"/>
          <w:sz w:val="32"/>
          <w:szCs w:val="32"/>
        </w:rPr>
        <w:t xml:space="preserve">  选手未在规定的时间提交征文的，视为放弃竞赛。</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经竞赛办公室确认，征文内容有抄袭、剽窃以及任何可以识别作者身份信息等情形的，取消选手比赛成绩；已获奖励的，予以撤销，同时抄告其所在院校并予以公告。</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第二十二条[违反现场评审纪律处罚] </w:t>
      </w:r>
      <w:r>
        <w:rPr>
          <w:rFonts w:hint="eastAsia" w:ascii="仿宋_GB2312" w:hAnsi="仿宋_GB2312" w:eastAsia="仿宋_GB2312" w:cs="仿宋_GB2312"/>
          <w:sz w:val="32"/>
          <w:szCs w:val="32"/>
        </w:rPr>
        <w:t xml:space="preserve"> 参加征文赛现场评审的选手应当按照规定于所在组别报到时间内报到，每迟到十分钟，扣去现场成绩得分中的十分。迟到半小时者，视为放弃现场评审，最终成绩以网评成绩计算。</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第二十三条[救济程序]</w:t>
      </w:r>
      <w:r>
        <w:rPr>
          <w:rFonts w:hint="eastAsia" w:ascii="仿宋_GB2312" w:hAnsi="仿宋_GB2312" w:eastAsia="仿宋_GB2312" w:cs="仿宋_GB2312"/>
          <w:sz w:val="32"/>
          <w:szCs w:val="32"/>
        </w:rPr>
        <w:t xml:space="preserve">  竞赛专家委员会与竞赛办公室在竞赛现场受理争议与投诉，负责现场裁决或提交竞赛委员会会商。</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对于竞赛的投诉，参赛队伍必须在比赛发生当天以书面形式提出投诉申请书，投诉内容必须有确凿的事实依据。竞赛委员会处理投诉的裁决具有终局性。</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对于所受处罚不服的，选手必须以书面方式提出申诉书。竞赛委员会认为申诉有理由的，应予撤销处罚；认为申诉无理由的，驳回该申诉并告知驳回理由。竞赛委员会处理申诉的裁决具有终局性。</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p>
    <w:p>
      <w:pPr>
        <w:widowControl/>
        <w:wordWrap w:val="0"/>
        <w:adjustRightInd w:val="0"/>
        <w:snapToGrid w:val="0"/>
        <w:spacing w:afterLines="50" w:line="360" w:lineRule="auto"/>
        <w:jc w:val="center"/>
        <w:textAlignment w:val="baseline"/>
        <w:rPr>
          <w:rFonts w:ascii="黑体" w:hAnsi="黑体" w:eastAsia="黑体" w:cs="黑体"/>
          <w:spacing w:val="11"/>
          <w:sz w:val="32"/>
          <w:szCs w:val="32"/>
          <w:lang w:eastAsia="en-US"/>
        </w:rPr>
      </w:pPr>
      <w:r>
        <w:rPr>
          <w:rFonts w:hint="eastAsia" w:ascii="黑体" w:hAnsi="黑体" w:eastAsia="黑体" w:cs="黑体"/>
          <w:spacing w:val="11"/>
          <w:sz w:val="32"/>
          <w:szCs w:val="32"/>
          <w:lang w:eastAsia="en-US"/>
        </w:rPr>
        <w:t>第八章</w:t>
      </w:r>
      <w:r>
        <w:rPr>
          <w:rFonts w:hint="eastAsia" w:ascii="黑体" w:hAnsi="黑体" w:eastAsia="黑体" w:cs="黑体"/>
          <w:spacing w:val="11"/>
          <w:sz w:val="32"/>
          <w:szCs w:val="32"/>
        </w:rPr>
        <w:t xml:space="preserve"> </w:t>
      </w:r>
      <w:r>
        <w:rPr>
          <w:rFonts w:hint="eastAsia" w:ascii="黑体" w:hAnsi="黑体" w:eastAsia="黑体" w:cs="黑体"/>
          <w:spacing w:val="11"/>
          <w:sz w:val="32"/>
          <w:szCs w:val="32"/>
          <w:lang w:eastAsia="en-US"/>
        </w:rPr>
        <w:t>奖励</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第二十四条[奖项设置] </w:t>
      </w:r>
      <w:r>
        <w:rPr>
          <w:rFonts w:hint="eastAsia" w:ascii="仿宋_GB2312" w:hAnsi="仿宋_GB2312" w:eastAsia="仿宋_GB2312" w:cs="仿宋_GB2312"/>
          <w:sz w:val="32"/>
          <w:szCs w:val="32"/>
        </w:rPr>
        <w:t xml:space="preserve"> 竞赛奖项设置按照浙江省大学生科技竞赛委员会相关规定执行。各参赛队的最终获奖等级，将由竞赛委员会评议公示后，由浙江省大学生科技竞赛委员会发文公布。</w:t>
      </w:r>
    </w:p>
    <w:p>
      <w:pPr>
        <w:widowControl/>
        <w:wordWrap w:val="0"/>
        <w:adjustRightInd w:val="0"/>
        <w:snapToGrid w:val="0"/>
        <w:spacing w:line="360" w:lineRule="auto"/>
        <w:ind w:firstLine="640" w:firstLineChars="200"/>
        <w:textAlignment w:val="baseline"/>
        <w:rPr>
          <w:rFonts w:ascii="仿宋_GB2312" w:hAnsi="仿宋_GB2312" w:eastAsia="仿宋_GB2312" w:cs="仿宋_GB2312"/>
          <w:sz w:val="32"/>
          <w:szCs w:val="32"/>
        </w:rPr>
      </w:pPr>
    </w:p>
    <w:p>
      <w:pPr>
        <w:widowControl/>
        <w:wordWrap w:val="0"/>
        <w:adjustRightInd w:val="0"/>
        <w:snapToGrid w:val="0"/>
        <w:spacing w:afterLines="50" w:line="360" w:lineRule="auto"/>
        <w:jc w:val="center"/>
        <w:textAlignment w:val="baseline"/>
        <w:rPr>
          <w:rFonts w:ascii="黑体" w:hAnsi="黑体" w:eastAsia="黑体" w:cs="黑体"/>
          <w:spacing w:val="11"/>
          <w:sz w:val="32"/>
          <w:szCs w:val="32"/>
          <w:lang w:eastAsia="en-US"/>
        </w:rPr>
      </w:pPr>
      <w:r>
        <w:rPr>
          <w:rFonts w:hint="eastAsia" w:ascii="黑体" w:hAnsi="黑体" w:eastAsia="黑体" w:cs="黑体"/>
          <w:spacing w:val="11"/>
          <w:sz w:val="32"/>
          <w:szCs w:val="32"/>
          <w:lang w:eastAsia="en-US"/>
        </w:rPr>
        <w:t>第九章</w:t>
      </w:r>
      <w:r>
        <w:rPr>
          <w:rFonts w:hint="eastAsia" w:ascii="黑体" w:hAnsi="黑体" w:eastAsia="黑体" w:cs="黑体"/>
          <w:spacing w:val="11"/>
          <w:sz w:val="32"/>
          <w:szCs w:val="32"/>
        </w:rPr>
        <w:t xml:space="preserve"> </w:t>
      </w:r>
      <w:r>
        <w:rPr>
          <w:rFonts w:hint="eastAsia" w:ascii="黑体" w:hAnsi="黑体" w:eastAsia="黑体" w:cs="黑体"/>
          <w:spacing w:val="11"/>
          <w:sz w:val="32"/>
          <w:szCs w:val="32"/>
          <w:lang w:eastAsia="en-US"/>
        </w:rPr>
        <w:t>附则</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第二十五条[规则的效力]  </w:t>
      </w:r>
      <w:r>
        <w:rPr>
          <w:rFonts w:hint="eastAsia" w:ascii="仿宋_GB2312" w:hAnsi="仿宋_GB2312" w:eastAsia="仿宋_GB2312" w:cs="仿宋_GB2312"/>
          <w:sz w:val="32"/>
          <w:szCs w:val="32"/>
        </w:rPr>
        <w:t>本规则自公布之日起生效。</w:t>
      </w:r>
    </w:p>
    <w:p>
      <w:pPr>
        <w:widowControl/>
        <w:wordWrap w:val="0"/>
        <w:adjustRightInd w:val="0"/>
        <w:snapToGrid w:val="0"/>
        <w:spacing w:line="360" w:lineRule="auto"/>
        <w:ind w:firstLine="643" w:firstLineChars="200"/>
        <w:textAlignment w:val="baseline"/>
        <w:rPr>
          <w:rFonts w:ascii="仿宋_GB2312" w:hAnsi="仿宋_GB2312" w:eastAsia="仿宋_GB2312" w:cs="仿宋_GB2312"/>
          <w:sz w:val="32"/>
          <w:szCs w:val="32"/>
        </w:rPr>
      </w:pPr>
      <w:r>
        <w:rPr>
          <w:rFonts w:hint="eastAsia" w:ascii="楷体" w:hAnsi="楷体" w:eastAsia="楷体" w:cs="楷体"/>
          <w:b/>
          <w:bCs/>
          <w:sz w:val="32"/>
          <w:szCs w:val="32"/>
        </w:rPr>
        <w:t xml:space="preserve">第二十六条[规则的解释] </w:t>
      </w:r>
      <w:r>
        <w:rPr>
          <w:rFonts w:hint="eastAsia" w:ascii="仿宋_GB2312" w:hAnsi="仿宋_GB2312" w:eastAsia="仿宋_GB2312" w:cs="仿宋_GB2312"/>
          <w:sz w:val="32"/>
          <w:szCs w:val="32"/>
        </w:rPr>
        <w:t xml:space="preserve"> 浙江省大学生法律职业能力竞赛委员会对本规则享有最终解释权。</w:t>
      </w:r>
    </w:p>
    <w:p>
      <w:pPr>
        <w:widowControl/>
        <w:adjustRightInd w:val="0"/>
        <w:snapToGrid w:val="0"/>
        <w:spacing w:line="360" w:lineRule="auto"/>
        <w:jc w:val="right"/>
        <w:textAlignment w:val="baseline"/>
        <w:rPr>
          <w:rFonts w:ascii="仿宋_GB2312" w:hAnsi="仿宋_GB2312" w:eastAsia="仿宋_GB2312" w:cs="仿宋_GB2312"/>
          <w:sz w:val="32"/>
          <w:szCs w:val="32"/>
        </w:rPr>
      </w:pPr>
    </w:p>
    <w:p>
      <w:pPr>
        <w:widowControl/>
        <w:adjustRightInd w:val="0"/>
        <w:snapToGrid w:val="0"/>
        <w:spacing w:line="360" w:lineRule="auto"/>
        <w:jc w:val="right"/>
        <w:textAlignment w:val="baseline"/>
        <w:rPr>
          <w:rFonts w:ascii="仿宋_GB2312" w:hAnsi="仿宋_GB2312" w:eastAsia="仿宋_GB2312" w:cs="仿宋_GB2312"/>
          <w:sz w:val="32"/>
          <w:szCs w:val="32"/>
        </w:rPr>
      </w:pPr>
    </w:p>
    <w:p>
      <w:pPr>
        <w:widowControl/>
        <w:adjustRightInd w:val="0"/>
        <w:snapToGrid w:val="0"/>
        <w:spacing w:line="360" w:lineRule="auto"/>
        <w:jc w:val="right"/>
        <w:textAlignment w:val="baseline"/>
        <w:rPr>
          <w:rFonts w:ascii="仿宋_GB2312" w:hAnsi="仿宋_GB2312" w:eastAsia="仿宋_GB2312" w:cs="仿宋_GB2312"/>
          <w:sz w:val="32"/>
          <w:szCs w:val="32"/>
        </w:rPr>
      </w:pPr>
    </w:p>
    <w:p>
      <w:pPr>
        <w:widowControl/>
        <w:adjustRightInd w:val="0"/>
        <w:snapToGrid w:val="0"/>
        <w:spacing w:line="360" w:lineRule="auto"/>
        <w:jc w:val="right"/>
        <w:textAlignment w:val="baseline"/>
        <w:rPr>
          <w:rFonts w:ascii="仿宋_GB2312" w:hAnsi="仿宋_GB2312" w:eastAsia="仿宋_GB2312" w:cs="仿宋_GB2312"/>
          <w:sz w:val="32"/>
          <w:szCs w:val="32"/>
        </w:rPr>
      </w:pPr>
    </w:p>
    <w:p>
      <w:pPr>
        <w:widowControl/>
        <w:adjustRightInd w:val="0"/>
        <w:snapToGrid w:val="0"/>
        <w:spacing w:line="360" w:lineRule="auto"/>
        <w:jc w:val="right"/>
        <w:textAlignment w:val="baseline"/>
        <w:rPr>
          <w:rFonts w:ascii="仿宋_GB2312" w:hAnsi="仿宋_GB2312" w:eastAsia="仿宋_GB2312" w:cs="仿宋_GB2312"/>
          <w:sz w:val="32"/>
          <w:szCs w:val="32"/>
        </w:rPr>
      </w:pPr>
    </w:p>
    <w:p>
      <w:pPr>
        <w:widowControl/>
        <w:adjustRightInd w:val="0"/>
        <w:snapToGrid w:val="0"/>
        <w:spacing w:line="360" w:lineRule="auto"/>
        <w:jc w:val="right"/>
        <w:textAlignment w:val="baseline"/>
        <w:rPr>
          <w:rFonts w:ascii="仿宋_GB2312" w:hAnsi="仿宋_GB2312" w:eastAsia="仿宋_GB2312" w:cs="仿宋_GB2312"/>
          <w:sz w:val="32"/>
          <w:szCs w:val="32"/>
        </w:rPr>
      </w:pPr>
    </w:p>
    <w:p>
      <w:pPr>
        <w:widowControl/>
        <w:adjustRightInd w:val="0"/>
        <w:snapToGrid w:val="0"/>
        <w:spacing w:line="360" w:lineRule="auto"/>
        <w:jc w:val="right"/>
        <w:textAlignment w:val="baseline"/>
        <w:rPr>
          <w:rFonts w:ascii="仿宋_GB2312" w:hAnsi="仿宋_GB2312" w:eastAsia="仿宋_GB2312" w:cs="仿宋_GB2312"/>
          <w:sz w:val="32"/>
          <w:szCs w:val="32"/>
        </w:rPr>
      </w:pPr>
    </w:p>
    <w:p>
      <w:pPr>
        <w:widowControl/>
        <w:adjustRightInd w:val="0"/>
        <w:snapToGrid w:val="0"/>
        <w:spacing w:line="360" w:lineRule="auto"/>
        <w:jc w:val="right"/>
        <w:textAlignment w:val="baseline"/>
        <w:rPr>
          <w:rFonts w:ascii="仿宋_GB2312" w:hAnsi="仿宋_GB2312" w:eastAsia="仿宋_GB2312" w:cs="仿宋_GB2312"/>
          <w:sz w:val="32"/>
          <w:szCs w:val="32"/>
        </w:rPr>
      </w:pPr>
    </w:p>
    <w:p>
      <w:pPr>
        <w:widowControl/>
        <w:wordWrap w:val="0"/>
        <w:adjustRightInd w:val="0"/>
        <w:snapToGrid w:val="0"/>
        <w:spacing w:line="360" w:lineRule="auto"/>
        <w:jc w:val="right"/>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浙江省大学生法律职业能力竞赛委员会</w:t>
      </w:r>
    </w:p>
    <w:p>
      <w:pPr>
        <w:widowControl/>
        <w:adjustRightInd w:val="0"/>
        <w:snapToGrid w:val="0"/>
        <w:spacing w:line="360" w:lineRule="auto"/>
        <w:jc w:val="right"/>
        <w:textAlignment w:val="baseline"/>
      </w:pPr>
      <w:r>
        <w:rPr>
          <w:rFonts w:hint="eastAsia" w:ascii="仿宋_GB2312" w:hAnsi="仿宋_GB2312" w:eastAsia="仿宋_GB2312" w:cs="仿宋_GB2312"/>
          <w:sz w:val="32"/>
          <w:szCs w:val="32"/>
        </w:rPr>
        <w:t>二〇一八年四月</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B75C37-9207-429C-8B4E-35A149B048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F272204-07F6-46FA-9426-A61371B89DE4}"/>
  </w:font>
  <w:font w:name="方正公文小标宋">
    <w:altName w:val="宋体"/>
    <w:panose1 w:val="00000000000000000000"/>
    <w:charset w:val="86"/>
    <w:family w:val="auto"/>
    <w:pitch w:val="default"/>
    <w:sig w:usb0="00000000" w:usb1="00000000" w:usb2="00000016" w:usb3="00000000" w:csb0="00040001" w:csb1="00000000"/>
    <w:embedRegular r:id="rId3" w:fontKey="{1F60BE3F-28C2-4169-8482-9456137E319B}"/>
  </w:font>
  <w:font w:name="仿宋_GB2312">
    <w:altName w:val="仿宋"/>
    <w:panose1 w:val="00000000000000000000"/>
    <w:charset w:val="86"/>
    <w:family w:val="modern"/>
    <w:pitch w:val="default"/>
    <w:sig w:usb0="00000000" w:usb1="00000000" w:usb2="00000000" w:usb3="00000000" w:csb0="00040000" w:csb1="00000000"/>
    <w:embedRegular r:id="rId4" w:fontKey="{B7C5D6F9-89D9-4BB4-8DB8-2A978EE97FAB}"/>
  </w:font>
  <w:font w:name="楷体">
    <w:panose1 w:val="02010609060101010101"/>
    <w:charset w:val="86"/>
    <w:family w:val="modern"/>
    <w:pitch w:val="default"/>
    <w:sig w:usb0="800002BF" w:usb1="38CF7CFA" w:usb2="00000016" w:usb3="00000000" w:csb0="00040001" w:csb1="00000000"/>
    <w:embedRegular r:id="rId5" w:fontKey="{67F69E79-9A60-406B-B787-FCE50D50D15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ZGI2MmFiMDA0ZDlkNzAxZDQxZjZlYjEyMDc2YjMifQ=="/>
  </w:docVars>
  <w:rsids>
    <w:rsidRoot w:val="0FA64F13"/>
    <w:rsid w:val="00281E70"/>
    <w:rsid w:val="003D1FC2"/>
    <w:rsid w:val="006A34F5"/>
    <w:rsid w:val="00BF7FA8"/>
    <w:rsid w:val="019C645D"/>
    <w:rsid w:val="02441480"/>
    <w:rsid w:val="04821FF4"/>
    <w:rsid w:val="0DA27AF9"/>
    <w:rsid w:val="0FA64F13"/>
    <w:rsid w:val="3CBB0E55"/>
    <w:rsid w:val="40C83C56"/>
    <w:rsid w:val="4E0D3540"/>
    <w:rsid w:val="71F277C0"/>
    <w:rsid w:val="7CE1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qFormat/>
    <w:uiPriority w:val="0"/>
    <w:rPr>
      <w:color w:val="0000FF"/>
      <w:u w:val="single"/>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486</Words>
  <Characters>2771</Characters>
  <Lines>23</Lines>
  <Paragraphs>6</Paragraphs>
  <TotalTime>1</TotalTime>
  <ScaleCrop>false</ScaleCrop>
  <LinksUpToDate>false</LinksUpToDate>
  <CharactersWithSpaces>3251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2024-02-06T11:51:00Z</dcterms:created>
  <dc:creator>东东</dc:creator>
  <cp:lastModifiedBy>Administrator</cp:lastModifiedBy>
  <dcterms:modified xsi:type="dcterms:W3CDTF">2024-02-08T02:32:59Z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385AA8BCF7EA43C68955EA7BD9F90710_13</vt:lpwstr>
  </property>
</Properties>
</file>