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6B1B9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center"/>
        <w:rPr>
          <w:rFonts w:ascii="宋体" w:eastAsia="宋体" w:hAnsi="宋体" w:cs="Arial"/>
          <w:b/>
          <w:bCs/>
          <w:color w:val="000000" w:themeColor="text1"/>
          <w:kern w:val="0"/>
          <w:sz w:val="32"/>
          <w:szCs w:val="32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浙江师范大学行知学院第七届会展策划创意大赛</w:t>
      </w:r>
    </w:p>
    <w:p w14:paraId="696CAC0B" w14:textId="4857EB0B" w:rsidR="00DE4DE8" w:rsidRPr="00E02142" w:rsidRDefault="006A6453">
      <w:pPr>
        <w:widowControl/>
        <w:shd w:val="clear" w:color="auto" w:fill="FFFFFF"/>
        <w:spacing w:after="150" w:line="360" w:lineRule="auto"/>
        <w:ind w:firstLine="480"/>
        <w:jc w:val="center"/>
        <w:rPr>
          <w:rFonts w:ascii="宋体" w:eastAsia="宋体" w:hAnsi="宋体" w:cs="Arial"/>
          <w:b/>
          <w:bCs/>
          <w:color w:val="000000" w:themeColor="text1"/>
          <w:kern w:val="0"/>
          <w:sz w:val="32"/>
          <w:szCs w:val="32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各竞赛组别实施细则</w:t>
      </w:r>
    </w:p>
    <w:p w14:paraId="091117C9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555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9"/>
          <w:szCs w:val="29"/>
        </w:rPr>
        <w:t>一、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9"/>
          <w:szCs w:val="29"/>
        </w:rPr>
        <w:t>参赛组别</w:t>
      </w:r>
    </w:p>
    <w:p w14:paraId="6FCA422C" w14:textId="77777777" w:rsidR="00DE4DE8" w:rsidRPr="00E02142" w:rsidRDefault="00E475E6">
      <w:pPr>
        <w:widowControl/>
        <w:shd w:val="clear" w:color="auto" w:fill="FFFFFF"/>
        <w:spacing w:after="150" w:line="360" w:lineRule="auto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本次竞赛分为会展项目策划、数字会展项目策划、会展城市营销和会展项目调研四个类别。</w:t>
      </w:r>
    </w:p>
    <w:p w14:paraId="3D598F1D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1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、会展项目策划</w:t>
      </w:r>
    </w:p>
    <w:p w14:paraId="2FD43290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57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一个会展项目（包括但不限于展览项目、会议项目、节事活动项目或体育赛事等方案）的整体策划，选题不限，既可以对市场上已有的会展进行重新策划，也可以选择新的项目进行策划。</w:t>
      </w:r>
    </w:p>
    <w:p w14:paraId="7AA48EC8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2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、数字会展项目策划（线上）</w:t>
      </w:r>
    </w:p>
    <w:p w14:paraId="16069202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一个数字化在线会展项目的整体策划，选题不限，既可以对市场上已有的会展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进行重新策划，也可以选择新的项目进行策划。</w:t>
      </w:r>
    </w:p>
    <w:p w14:paraId="151C1A3D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3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、会展城市营销</w:t>
      </w:r>
    </w:p>
    <w:p w14:paraId="722762E2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结合西安城市地方资源（也可自定义某个城市），为其竞标举办会展活动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进行城市营销推介，内容包含运用当地会展产业资源，结合地方愿景，宣传推广该城市并达到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竞标目的（含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LOGO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设计、会展宣传口号设计）。</w:t>
      </w:r>
    </w:p>
    <w:p w14:paraId="6C09784D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4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、会展项目调研</w:t>
      </w:r>
    </w:p>
    <w:p w14:paraId="42591A15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对市场上已有的会展项目（展览项目或会议项目或节庆活动项目）进行调研，并完成调研报告。</w:t>
      </w:r>
    </w:p>
    <w:p w14:paraId="6F4A780F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555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9"/>
          <w:szCs w:val="29"/>
        </w:rPr>
        <w:t>二、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9"/>
          <w:szCs w:val="29"/>
        </w:rPr>
        <w:t>作品要求</w:t>
      </w:r>
    </w:p>
    <w:p w14:paraId="16ECCEE3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1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会展项目策划作品要求</w:t>
      </w:r>
    </w:p>
    <w:p w14:paraId="15C9A2A0" w14:textId="193AF533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结合会展管理相关的专业知识，对所选择会展项目从立项到推广，以及项目的管理运作向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评委做详尽的陈述，要求突出重点理论，并能用数据支持论点。团队的每位参赛选手均需参加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陈述。在陈述答辩时，假设评委是公司董事会的委员。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lastRenderedPageBreak/>
        <w:t>如果策划的是一个新项目，力求说服董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事会为什么这是一个可行的并值得公司投资的项目；如果是一个已经在运作的项目，应在策划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中包括对以往项目运做中存在的不足的分析，并提出在新的一年如何改进及创新，以期继续得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到董事会的支持。在会展项目策划方案和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PPT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陈述中必须包括以下重点内容：</w:t>
      </w:r>
    </w:p>
    <w:p w14:paraId="73708487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）立项分析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(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立项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分析中需包括潜在风险分析及应对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)</w:t>
      </w:r>
    </w:p>
    <w:p w14:paraId="3E9915EC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）项目执行计划（包括项目结构及时间表）</w:t>
      </w:r>
    </w:p>
    <w:p w14:paraId="11EAC159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）项目营销推广计划</w:t>
      </w:r>
    </w:p>
    <w:p w14:paraId="7608392A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）项目（财务）预算（切合最实际情况的预估损益平衡的时间，并做最好和最坏情况分析（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best and worst scenario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），以及最坏情况下的应对措施）</w:t>
      </w:r>
    </w:p>
    <w:p w14:paraId="3485E530" w14:textId="05DD679E" w:rsidR="00DE4DE8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）项目实施可行性、各部分逻辑性及可持续性、项目创意等，每个参赛队可按自己的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策略及项目特色对以上内容有所侧重，并选择是否在策划方案及演示中包括其它相关内容的陈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述，例如：品牌塑造、危机管理、信息管理，人力资源管理等等。</w:t>
      </w:r>
    </w:p>
    <w:p w14:paraId="3555F75C" w14:textId="04A2C4D9" w:rsidR="00E475E6" w:rsidRPr="00E02142" w:rsidRDefault="00E02142" w:rsidP="00D67274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r w:rsidRPr="00E02142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相关建议</w:t>
      </w:r>
      <w:r w:rsidR="00E475E6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：</w:t>
      </w:r>
    </w:p>
    <w:p w14:paraId="71D7F37E" w14:textId="26C840A2" w:rsidR="00E02142" w:rsidRPr="00E02142" w:rsidRDefault="00E02142" w:rsidP="00E02142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（1）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项目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策划案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应力求清楚地让评委知道：展商的目标群体、展会的展示范围、观众的目标群体，与同类展会比较，展会定位有何不同。营销计划应该对吸引不同的目标群体有针对性。</w:t>
      </w:r>
    </w:p>
    <w:p w14:paraId="744833C6" w14:textId="206B20B5" w:rsidR="00E02142" w:rsidRPr="00E02142" w:rsidRDefault="00E02142" w:rsidP="00E02142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）项目分析中除了对外部条件的分析（经济环境，地域优势等等），如果市场上有类似主题的展会，应该有和竞争对手比较的SWOT分析（我们项目的优势、劣势、机会、威胁）以及如何发挥优势、弱化劣势、应对风险。同时，你的SWOT分析结果应该是对项目操作策略和行为有影响的。</w:t>
      </w:r>
    </w:p>
    <w:p w14:paraId="19DCD3D2" w14:textId="4DBDC30B" w:rsidR="00E02142" w:rsidRPr="00E02142" w:rsidRDefault="00E02142" w:rsidP="00E02142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）各个部分的计划及执行（营销、运作、预算等）均应和项目定位策略保持一致。</w:t>
      </w:r>
    </w:p>
    <w:p w14:paraId="5B505731" w14:textId="354D3C37" w:rsidR="00DE4DE8" w:rsidRPr="00E02142" w:rsidRDefault="00E475E6">
      <w:pPr>
        <w:widowControl/>
        <w:shd w:val="clear" w:color="auto" w:fill="FFFFFF"/>
        <w:spacing w:after="150" w:line="360" w:lineRule="auto"/>
        <w:ind w:firstLineChars="200" w:firstLine="482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2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数字会展项目策划（线上</w:t>
      </w:r>
      <w:r w:rsidR="00D67274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会展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）作品要求</w:t>
      </w:r>
    </w:p>
    <w:p w14:paraId="342DCDFD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结合会展管理相关的专业知识，对所选择会展项目从立项到推广，以及项目数字化管理运作向评委做详尽的陈述，要求突出重点理论，并能用数据、图像支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lastRenderedPageBreak/>
        <w:t>持论点。团队的每位参赛选手均需参加陈述。在陈述答辩时，重点突出数字会展项目的策划流程、实现途径和在线展示效果。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在会展项目策划方案和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PPT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陈述中必须包括以下重点内容：</w:t>
      </w:r>
    </w:p>
    <w:p w14:paraId="5C443EEC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）立项分析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(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立项分析中需包括潜在风险分析及应对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) </w:t>
      </w:r>
    </w:p>
    <w:p w14:paraId="412EBFAC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）项目执行计划（包括项目结构及时间表）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397BFE74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）项目营销推广计划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64DD813A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）项目（财务）预算（切合最实际情况的预估损益平衡的时间，并做最好和最坏情况分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析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best and worst scenario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），以及最坏情况下的应对措施）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20B38D27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）项目实施可行性、各部分逻辑性及可持续性、项目创意等。</w:t>
      </w:r>
    </w:p>
    <w:p w14:paraId="233AC70B" w14:textId="6F0BE577" w:rsidR="00DE4DE8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）数字会展项目的界面实现效果，可提供的相关在线服务。</w:t>
      </w:r>
    </w:p>
    <w:p w14:paraId="6E308E65" w14:textId="7366717A" w:rsidR="00D67274" w:rsidRPr="00D67274" w:rsidRDefault="00D67274" w:rsidP="00D67274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r w:rsidRPr="00D67274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相关建议</w:t>
      </w:r>
      <w:r w:rsidR="00E475E6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：</w:t>
      </w:r>
    </w:p>
    <w:p w14:paraId="6E43F390" w14:textId="0B7080A0" w:rsidR="00D67274" w:rsidRPr="00D67274" w:rsidRDefault="00D67274" w:rsidP="00D67274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）项目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策划案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应力求清楚地让评委知道：在线展会项目的举办流程、实现途径、平台优势等。</w:t>
      </w:r>
    </w:p>
    <w:p w14:paraId="3FE3C88F" w14:textId="753544E1" w:rsidR="00D67274" w:rsidRPr="00D67274" w:rsidRDefault="00D67274" w:rsidP="00D67274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）相关的举办流程应切实可行，体现出与传统方式相比数字展会项目的不同和优势。</w:t>
      </w:r>
    </w:p>
    <w:p w14:paraId="366EFE1E" w14:textId="7E20A7E7" w:rsidR="00D67274" w:rsidRPr="00D67274" w:rsidRDefault="00D67274" w:rsidP="00D67274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）各个部分的计划及执行（营销、运作、预算等）均应和项目定位策略保持一致。</w:t>
      </w:r>
    </w:p>
    <w:p w14:paraId="1B0EFFEE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3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会展城市营销作品要求</w:t>
      </w:r>
    </w:p>
    <w:p w14:paraId="0C0725EA" w14:textId="2FF9AE7D" w:rsidR="00D67274" w:rsidRDefault="00D67274" w:rsidP="00D67274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该类别竞赛初赛只提交会展城市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营销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推介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企划书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，要求对所选择的会展城市进行深入</w:t>
      </w:r>
      <w:r w:rsidR="00832652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相关</w:t>
      </w:r>
      <w:r w:rsidR="00832652">
        <w:rPr>
          <w:rFonts w:ascii="宋体" w:eastAsia="宋体" w:hAnsi="宋体" w:hint="eastAsia"/>
          <w:color w:val="000000" w:themeColor="text1"/>
          <w:sz w:val="24"/>
          <w:szCs w:val="24"/>
        </w:rPr>
        <w:t>产业发展现状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调查和资源分析</w:t>
      </w:r>
      <w:r w:rsidR="00832652">
        <w:rPr>
          <w:rFonts w:ascii="宋体" w:eastAsia="宋体" w:hAnsi="宋体" w:hint="eastAsia"/>
          <w:color w:val="000000" w:themeColor="text1"/>
          <w:sz w:val="24"/>
          <w:szCs w:val="24"/>
        </w:rPr>
        <w:t>，并在此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的基础上识别该会展城市</w:t>
      </w:r>
      <w:r w:rsidR="00832652">
        <w:rPr>
          <w:rFonts w:ascii="宋体" w:eastAsia="宋体" w:hAnsi="宋体" w:hint="eastAsia"/>
          <w:color w:val="000000" w:themeColor="text1"/>
          <w:sz w:val="24"/>
          <w:szCs w:val="24"/>
        </w:rPr>
        <w:t>自身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特色，优势与劣势，选择有针对性、创意性的方式对该会展城市进行有效推介。</w:t>
      </w:r>
    </w:p>
    <w:p w14:paraId="6592C6D0" w14:textId="7F309F71" w:rsidR="00D67274" w:rsidRDefault="00D67274" w:rsidP="00D67274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决赛环节将增加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现场营销推介展示和答辩相结合的方式。其中，每个参赛队中文推介展示时间为4分钟，英文推介展示时间为4分钟，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适当考虑现场展示人员的英文水平。</w:t>
      </w:r>
    </w:p>
    <w:p w14:paraId="3D1B8AC4" w14:textId="09463603" w:rsidR="00DE4DE8" w:rsidRPr="00E02142" w:rsidRDefault="00E475E6" w:rsidP="00D67274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lastRenderedPageBreak/>
        <w:t>4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会展项目调研作品要求</w:t>
      </w:r>
    </w:p>
    <w:p w14:paraId="64A7514D" w14:textId="4208EFE2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结合会展管理相关的专业知识，对所选择会展项目进行背景调研、实际情况调研，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寻找切入点进行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项目分析评价并提出改进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建议。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在会展项目调研报告和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 PPT 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陈述中必须包括以下重点内容：</w:t>
      </w:r>
    </w:p>
    <w:p w14:paraId="01E6D77C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）对所选调研项目背景情况的了解；</w:t>
      </w:r>
    </w:p>
    <w:p w14:paraId="0FE561BA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）对会展调研项目实际情况的描述；</w:t>
      </w:r>
    </w:p>
    <w:p w14:paraId="6DE2E075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）对会展调研项目情况的分析评价；</w:t>
      </w:r>
    </w:p>
    <w:p w14:paraId="33C9C8B7" w14:textId="5494DE0D" w:rsidR="00DE4DE8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）对会展调研项目情况的改进建议。</w:t>
      </w:r>
    </w:p>
    <w:p w14:paraId="6E176E4A" w14:textId="4E246B8E" w:rsidR="00E475E6" w:rsidRPr="00E475E6" w:rsidRDefault="00E475E6" w:rsidP="00E475E6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r w:rsidRPr="00E475E6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评分细则</w:t>
      </w:r>
    </w:p>
    <w:p w14:paraId="48C244AC" w14:textId="1D2B623C" w:rsidR="00DE4DE8" w:rsidRPr="00E02142" w:rsidRDefault="00E475E6">
      <w:p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46462A8" wp14:editId="54C99639">
            <wp:extent cx="5274310" cy="4693285"/>
            <wp:effectExtent l="0" t="0" r="0" b="5715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DE8" w:rsidRPr="00E0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DE8"/>
    <w:rsid w:val="006A6453"/>
    <w:rsid w:val="00832652"/>
    <w:rsid w:val="00D67274"/>
    <w:rsid w:val="00DE4DE8"/>
    <w:rsid w:val="00E02142"/>
    <w:rsid w:val="00E475E6"/>
    <w:rsid w:val="00E55F14"/>
    <w:rsid w:val="0AF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4E2E7"/>
  <w15:docId w15:val="{734A339B-2207-1B4B-9452-B1D57B5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高沁怡</dc:creator>
  <cp:lastModifiedBy>swyfly@126.com</cp:lastModifiedBy>
  <cp:revision>7</cp:revision>
  <dcterms:created xsi:type="dcterms:W3CDTF">2021-05-31T05:40:00Z</dcterms:created>
  <dcterms:modified xsi:type="dcterms:W3CDTF">2021-05-31T17:50:00Z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00D8712EEA36444DA46BDB12EF4E2BC7</vt:lpwstr>
  </property>
</Properties>
</file>