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7F" w:rsidRDefault="00D5437F" w:rsidP="00D5437F">
      <w:pPr>
        <w:widowControl/>
        <w:shd w:val="clear" w:color="auto" w:fill="FFFFFF"/>
        <w:spacing w:line="520" w:lineRule="exact"/>
        <w:jc w:val="center"/>
        <w:outlineLvl w:val="0"/>
        <w:rPr>
          <w:rFonts w:ascii="方正小标宋简体" w:eastAsia="方正小标宋简体" w:hAnsi="微软雅黑" w:cs="宋体"/>
          <w:bCs/>
          <w:color w:val="4B4B4B"/>
          <w:kern w:val="36"/>
          <w:sz w:val="36"/>
          <w:szCs w:val="30"/>
        </w:rPr>
      </w:pPr>
      <w:bookmarkStart w:id="0" w:name="_Toc43897208"/>
      <w:r>
        <w:rPr>
          <w:rFonts w:ascii="方正小标宋简体" w:eastAsia="方正小标宋简体" w:hAnsi="微软雅黑" w:cs="宋体" w:hint="eastAsia"/>
          <w:bCs/>
          <w:color w:val="4B4B4B"/>
          <w:kern w:val="36"/>
          <w:sz w:val="36"/>
          <w:szCs w:val="30"/>
        </w:rPr>
        <w:t>一流本科课程培育项目（国家级）评审标准及指标体系</w:t>
      </w:r>
      <w:bookmarkEnd w:id="0"/>
    </w:p>
    <w:p w:rsidR="00D5437F" w:rsidRDefault="00D5437F" w:rsidP="00D5437F">
      <w:pPr>
        <w:spacing w:after="80"/>
        <w:jc w:val="center"/>
        <w:rPr>
          <w:rFonts w:ascii="黑体" w:eastAsia="黑体" w:hAnsi="黑体" w:cs="黑体" w:hint="eastAsia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ascii="黑体" w:eastAsia="黑体" w:hAnsi="黑体" w:cs="黑体" w:hint="eastAsia"/>
          <w:color w:val="000000"/>
          <w:kern w:val="0"/>
          <w:sz w:val="24"/>
          <w:szCs w:val="24"/>
          <w:lang w:val="zh-TW" w:eastAsia="zh-TW" w:bidi="zh-TW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24"/>
          <w:szCs w:val="24"/>
          <w:lang w:val="zh-TW" w:bidi="zh-TW"/>
        </w:rPr>
        <w:t>线上线下混合式</w:t>
      </w:r>
      <w:r>
        <w:rPr>
          <w:rFonts w:ascii="黑体" w:eastAsia="黑体" w:hAnsi="黑体" w:cs="黑体" w:hint="eastAsia"/>
          <w:color w:val="000000"/>
          <w:kern w:val="0"/>
          <w:sz w:val="24"/>
          <w:szCs w:val="24"/>
          <w:lang w:val="zh-TW" w:eastAsia="zh-TW" w:bidi="zh-TW"/>
        </w:rPr>
        <w:t>一流课程）</w:t>
      </w:r>
    </w:p>
    <w:p w:rsidR="00D5437F" w:rsidRDefault="00D5437F" w:rsidP="00D5437F">
      <w:pPr>
        <w:spacing w:after="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TW" w:bidi="zh-TW"/>
        </w:rPr>
        <w:t>实质性审查指标及评分</w:t>
      </w:r>
    </w:p>
    <w:p w:rsidR="00D5437F" w:rsidRPr="00D5437F" w:rsidRDefault="00D5437F" w:rsidP="00D5437F">
      <w:pPr>
        <w:spacing w:after="80"/>
        <w:jc w:val="center"/>
        <w:rPr>
          <w:rFonts w:ascii="宋体" w:eastAsia="PMingLiU" w:hAnsi="宋体" w:cs="宋体" w:hint="eastAsia"/>
          <w:color w:val="000000"/>
          <w:kern w:val="0"/>
          <w:szCs w:val="21"/>
          <w:lang w:val="zh-TW" w:eastAsia="zh-TW" w:bidi="zh-TW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val="zh-TW" w:eastAsia="zh-TW" w:bidi="zh-TW"/>
        </w:rPr>
        <w:t>（在</w:t>
      </w:r>
      <w:r>
        <w:rPr>
          <w:rFonts w:ascii="宋体" w:eastAsia="宋体" w:hAnsi="宋体" w:cs="宋体" w:hint="eastAsia"/>
          <w:color w:val="000000"/>
          <w:kern w:val="0"/>
          <w:szCs w:val="21"/>
          <w:lang w:val="zh-TW" w:bidi="zh-TW"/>
        </w:rPr>
        <w:t>相应栏目内划“√”</w:t>
      </w:r>
      <w:r>
        <w:rPr>
          <w:rFonts w:ascii="宋体" w:eastAsia="宋体" w:hAnsi="宋体" w:cs="宋体" w:hint="eastAsia"/>
          <w:color w:val="000000"/>
          <w:kern w:val="0"/>
          <w:szCs w:val="21"/>
          <w:lang w:val="zh-TW" w:eastAsia="zh-TW" w:bidi="zh-TW"/>
        </w:rPr>
        <w:t>）</w:t>
      </w:r>
    </w:p>
    <w:tbl>
      <w:tblPr>
        <w:tblStyle w:val="1"/>
        <w:tblW w:w="14000" w:type="dxa"/>
        <w:tblInd w:w="0" w:type="dxa"/>
        <w:tblLook w:val="04A0" w:firstRow="1" w:lastRow="0" w:firstColumn="1" w:lastColumn="0" w:noHBand="0" w:noVBand="1"/>
      </w:tblPr>
      <w:tblGrid>
        <w:gridCol w:w="2830"/>
        <w:gridCol w:w="9639"/>
        <w:gridCol w:w="1531"/>
      </w:tblGrid>
      <w:tr w:rsidR="00D5437F" w:rsidTr="00D5437F">
        <w:trPr>
          <w:trHeight w:val="737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jc w:val="center"/>
              <w:rPr>
                <w:rFonts w:eastAsia="宋体" w:hint="eastAsia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  <w:lang w:bidi="en-US"/>
              </w:rPr>
              <w:t>指标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  <w:lang w:bidi="en-US"/>
              </w:rPr>
              <w:t>改革观测点及描述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  <w:lang w:bidi="en-US"/>
              </w:rPr>
              <w:t>分值</w:t>
            </w:r>
          </w:p>
        </w:tc>
      </w:tr>
      <w:tr w:rsidR="00D5437F" w:rsidTr="00D5437F">
        <w:trPr>
          <w:trHeight w:val="73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课程目标符合新时代人才培养要求（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15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符合学校办学定位和人才培养目标，坚持立德树人。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坚持知识、能力、素质有机融合，注重提升课程的高阶性、突出课程的创新性、增加课程的挑战度，契合学生解决复杂问题等综合能力养成要求。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目标描述准确具体，对应国家、行业、专业需求，符合培养规律，符合校情、学情，达成路径清晰，便于考核评价。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29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授课教师（团队）切实投入教学改革（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15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秉持学生中心、产出导向、持续改进的理念。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教学理念融入教学设计，围绕目标达成、教学内容、组织实施和多元评价需求进行整体规划，教学策略、教学方法、教学过程、教学评价等设计合理。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教学改革意识强烈，能够主动运用新技术，创新教学方法，提高教学效率、提升教学质量，教学能力有显著提升。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课程内容与时俱进（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20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体现价值引领，注重学生品格塑造，将思想政治教育内化为课程内容，加强科学精神与学术道德、职业精神与职业道德教育。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体现前沿性与时代性要求，反映学科专业、行业先进的核心理论和成果，聚焦新工科、新医科、新农科、新文科建设，增加体现多学科思维融合、产业技术与学科理论融合、跨专业能力融合、多学科项目实践融合内容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保障教学资源的优质性与适用性，优先选择国家级和省级精品在线开放课程等高质量在线课程资源，结合本校实际对课程内容进行优化，线上、线下内容互补，充分体现混合式优势。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教与学发生改变（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15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以教为中心向以学为中心转变，符合“安排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20%-50%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的教学实践实施学生线上自主学习”基本要求，以提升教学效果为目的，因材施教，运用适当的数字化教学工具，创新方式方法，有效开展线上与线下密切衔接的全过程教学活动。实施打破传统课堂“满堂灌”和沉默状态的方式方法，训练学生问题解决能力和审辩式思维能力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学生学习方式有显著变化，安排学生个别化学习与合作学习，强化线上线下师生互动、生生互动环节，加强研究型、项目式学习。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54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评价拓展深化（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15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考核方式多元，强化探究式、论文式、报告答辩式等作业评价方式，加强非标准化、综合性等评价，评价手段恰当必要，契合相对应的人才培养类型。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考核考试评价严格，体现过程评价，注重学习效果评价。学生线上自主学习、作业和测试等评价与参与线下教学活动的评价连贯完整，过程可回溯，诊断改进积极有效。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 w:rsidP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bookmarkStart w:id="1" w:name="_GoBack"/>
            <w:bookmarkEnd w:id="1"/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D5437F" w:rsidTr="00D5437F">
        <w:trPr>
          <w:trHeight w:val="73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改革行之有效（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20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学习效果提升，学生对课程的参与度、学习获得感、对教师教学以及课程的满意度有明显提高。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改革迭代优化，有意识地收集数据开展教学反思、教学研究和教学改进。在多期混合式教学中进行迭代，不断优化教学的设计和实施。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学习对线上线下混合式教学有合理的工作量计算机制、教学管理与质量监控机制等配套机制支持，并不断完善。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较好地解决了传统教学中的短板问题。在树立课程建设新理念、推进相应类型高校课程改革创新、提升教学效果方面显示了明显优势，具有推广价值。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</w:tbl>
    <w:p w:rsidR="004D7345" w:rsidRDefault="004D7345">
      <w:pPr>
        <w:rPr>
          <w:rFonts w:hint="eastAsia"/>
        </w:rPr>
      </w:pPr>
    </w:p>
    <w:sectPr w:rsidR="004D7345" w:rsidSect="00D543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AF"/>
    <w:rsid w:val="004D7345"/>
    <w:rsid w:val="00A64AAF"/>
    <w:rsid w:val="00D5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B9F8C-408A-4079-AA8F-EB8B57C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D5437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>china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2</cp:revision>
  <dcterms:created xsi:type="dcterms:W3CDTF">2021-03-30T06:29:00Z</dcterms:created>
  <dcterms:modified xsi:type="dcterms:W3CDTF">2021-03-30T06:30:00Z</dcterms:modified>
</cp:coreProperties>
</file>